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克拉玛依市青年宫</w:t>
      </w:r>
    </w:p>
    <w:p>
      <w:pPr>
        <w:spacing w:line="540" w:lineRule="exact"/>
        <w:jc w:val="center"/>
        <w:rPr>
          <w:rFonts w:eastAsia="方正小标宋_GBK"/>
          <w:kern w:val="0"/>
          <w:sz w:val="48"/>
          <w:szCs w:val="48"/>
        </w:rPr>
      </w:pPr>
      <w:r>
        <w:rPr>
          <w:rFonts w:hint="eastAsia" w:eastAsia="方正小标宋_GBK"/>
          <w:kern w:val="0"/>
          <w:sz w:val="48"/>
          <w:szCs w:val="48"/>
        </w:rPr>
        <w:t>资金</w:t>
      </w:r>
      <w:r>
        <w:rPr>
          <w:rFonts w:eastAsia="方正小标宋_GBK"/>
          <w:kern w:val="0"/>
          <w:sz w:val="48"/>
          <w:szCs w:val="48"/>
        </w:rPr>
        <w:t>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4</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2"/>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教学活动经费</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克拉玛依市青年宫</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克拉玛依市青年宫</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高翔</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w:t>
      </w:r>
      <w:r>
        <w:rPr>
          <w:rFonts w:hint="eastAsia" w:eastAsia="仿宋_GB2312"/>
          <w:kern w:val="0"/>
          <w:sz w:val="36"/>
          <w:szCs w:val="36"/>
          <w:lang w:val="en-US" w:eastAsia="zh-CN"/>
        </w:rPr>
        <w:t>4</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lang w:val="en-US" w:eastAsia="zh-CN"/>
        </w:rPr>
        <w:t>10</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5"/>
          <w:rFonts w:eastAsia="黑体"/>
          <w:b w:val="0"/>
          <w:spacing w:val="-4"/>
          <w:sz w:val="32"/>
          <w:szCs w:val="32"/>
        </w:rPr>
      </w:pPr>
    </w:p>
    <w:p>
      <w:pPr>
        <w:spacing w:line="540" w:lineRule="exact"/>
        <w:rPr>
          <w:rStyle w:val="15"/>
          <w:rFonts w:eastAsia="黑体"/>
          <w:b w:val="0"/>
          <w:spacing w:val="-4"/>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2" w:firstLineChars="200"/>
        <w:rPr>
          <w:rFonts w:eastAsia="楷体_GB2312"/>
          <w:b/>
          <w:bCs/>
          <w:sz w:val="32"/>
          <w:szCs w:val="32"/>
        </w:rPr>
      </w:pPr>
      <w:r>
        <w:rPr>
          <w:rFonts w:eastAsia="楷体_GB2312"/>
          <w:b/>
          <w:bCs/>
          <w:sz w:val="32"/>
          <w:szCs w:val="32"/>
        </w:rPr>
        <w:t>（一）项目概况</w:t>
      </w:r>
    </w:p>
    <w:p>
      <w:pPr>
        <w:pStyle w:val="32"/>
        <w:numPr>
          <w:ilvl w:val="0"/>
          <w:numId w:val="0"/>
        </w:numPr>
        <w:spacing w:line="560" w:lineRule="exact"/>
        <w:ind w:left="640" w:leftChars="0"/>
        <w:rPr>
          <w:rFonts w:eastAsia="仿宋_GB2312"/>
          <w:b/>
          <w:bCs/>
          <w:sz w:val="32"/>
          <w:szCs w:val="32"/>
        </w:rPr>
      </w:pPr>
      <w:r>
        <w:rPr>
          <w:rFonts w:hint="eastAsia" w:eastAsia="仿宋_GB2312"/>
          <w:b/>
          <w:bCs/>
          <w:sz w:val="32"/>
          <w:szCs w:val="32"/>
          <w:lang w:val="en-US" w:eastAsia="zh-CN"/>
        </w:rPr>
        <w:t>1.</w:t>
      </w:r>
      <w:r>
        <w:rPr>
          <w:rFonts w:eastAsia="仿宋_GB2312"/>
          <w:b/>
          <w:bCs/>
          <w:sz w:val="32"/>
          <w:szCs w:val="32"/>
        </w:rPr>
        <w:t>项目背景</w:t>
      </w:r>
    </w:p>
    <w:p>
      <w:pPr>
        <w:pStyle w:val="2"/>
        <w:spacing w:before="0" w:after="0" w:line="560" w:lineRule="exact"/>
        <w:ind w:firstLine="627" w:firstLineChars="196"/>
        <w:jc w:val="both"/>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克拉玛依市青年宫隶属克拉玛依团市委管理，是我市从事青少年校外艺术教育的事业单位。青年宫常年设立跆拳道、舞蹈、钢琴、声乐、泥塑、美术、书法等多门艺术培训课程，开设春秋两季培训及寒暑假培训，此外还提供青年夜校、青年开放日、流动青年宫等青年服务类活动。</w:t>
      </w:r>
    </w:p>
    <w:p>
      <w:pPr>
        <w:pStyle w:val="2"/>
        <w:spacing w:before="0" w:after="0" w:line="560" w:lineRule="exact"/>
        <w:ind w:firstLine="629" w:firstLineChars="196"/>
        <w:jc w:val="both"/>
        <w:rPr>
          <w:rFonts w:ascii="Times New Roman" w:hAnsi="Times New Roman" w:eastAsia="仿宋_GB2312"/>
          <w:kern w:val="2"/>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项目主要内容：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课时费支出：</w:t>
      </w:r>
      <w:r>
        <w:rPr>
          <w:rFonts w:hint="eastAsia" w:ascii="仿宋_GB2312" w:hAnsi="仿宋_GB2312" w:eastAsia="仿宋_GB2312" w:cs="仿宋_GB2312"/>
          <w:sz w:val="32"/>
          <w:szCs w:val="32"/>
          <w:lang w:eastAsia="zh-CN"/>
        </w:rPr>
        <w:t>主要</w:t>
      </w:r>
      <w:r>
        <w:rPr>
          <w:rFonts w:hint="eastAsia" w:ascii="仿宋_GB2312" w:hAnsi="仿宋_GB2312" w:eastAsia="仿宋_GB2312" w:cs="仿宋_GB2312"/>
          <w:sz w:val="32"/>
          <w:szCs w:val="32"/>
        </w:rPr>
        <w:t>用于支付青少年文化艺术培训和青年服务所产生的教师课时费。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公益性活动支出：随着共青团改革工作的进行，市青年宫逐步加大公益性活动的开展。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教学业务活动支出：青年宫将开展汇报展演等教学业务活动，为给我市青少年创造良好的文化氛围及展示自我的机会。</w:t>
      </w:r>
    </w:p>
    <w:p>
      <w:pPr>
        <w:spacing w:line="560" w:lineRule="exact"/>
        <w:ind w:firstLine="600" w:firstLineChars="200"/>
      </w:pPr>
      <w:r>
        <w:rPr>
          <w:rFonts w:eastAsia="仿宋_GB2312"/>
          <w:sz w:val="30"/>
          <w:szCs w:val="30"/>
        </w:rPr>
        <w:t>项目实施情况：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2" w:firstLineChars="200"/>
        <w:rPr>
          <w:rFonts w:eastAsia="仿宋_GB2312"/>
          <w:b/>
          <w:bCs/>
          <w:sz w:val="32"/>
          <w:szCs w:val="32"/>
        </w:rPr>
      </w:pPr>
      <w:r>
        <w:rPr>
          <w:rFonts w:hint="eastAsia" w:eastAsia="仿宋_GB2312"/>
          <w:b/>
          <w:bCs/>
          <w:sz w:val="32"/>
          <w:szCs w:val="32"/>
          <w:lang w:val="en-US" w:eastAsia="zh-CN"/>
        </w:rPr>
        <w:t>3.</w:t>
      </w:r>
      <w:r>
        <w:rPr>
          <w:rFonts w:eastAsia="仿宋_GB2312"/>
          <w:b/>
          <w:bCs/>
          <w:sz w:val="32"/>
          <w:szCs w:val="32"/>
        </w:rPr>
        <w:t>资金投入和使用情况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（1）资金投入情况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万元，实际总投入</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万元，该项目资金已全部落实到位，资金来源为财政拨款。</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万元，全年预算数</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万元，全年执行数</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万元，预算执行率为100%，主要用于：开展好教学培训工作，开展好各项青少年服务类活动，做好公益性服务活动的开展。</w:t>
      </w:r>
    </w:p>
    <w:p>
      <w:pPr>
        <w:spacing w:line="560" w:lineRule="exact"/>
        <w:ind w:firstLine="642"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hint="eastAsia" w:eastAsia="仿宋_GB2312"/>
          <w:sz w:val="32"/>
          <w:szCs w:val="32"/>
          <w:lang w:val="en-US" w:eastAsia="zh-CN"/>
        </w:rPr>
        <w:t>1.</w:t>
      </w:r>
      <w:r>
        <w:rPr>
          <w:rFonts w:eastAsia="仿宋_GB2312"/>
          <w:sz w:val="32"/>
          <w:szCs w:val="32"/>
        </w:rPr>
        <w:t>总体目标</w:t>
      </w:r>
    </w:p>
    <w:p>
      <w:pPr>
        <w:spacing w:line="600" w:lineRule="exact"/>
        <w:ind w:firstLine="640" w:firstLineChars="200"/>
        <w:outlineLvl w:val="0"/>
        <w:rPr>
          <w:rFonts w:eastAsia="黑体"/>
          <w:bCs/>
        </w:rPr>
      </w:pPr>
      <w:r>
        <w:rPr>
          <w:rFonts w:hint="eastAsia" w:ascii="仿宋_GB2312" w:hAnsi="仿宋_GB2312" w:eastAsia="仿宋_GB2312" w:cs="仿宋_GB2312"/>
          <w:sz w:val="32"/>
          <w:szCs w:val="32"/>
          <w:lang w:val="en-US" w:eastAsia="zh-CN"/>
        </w:rPr>
        <w:t>开展好教育教学活动培训及假期公益性活动，开展好各项青少年服务类活动，做好各项青少年服务工作。通过保障教师课时费发放，公益活动的开展和青年、青少年服务活动等工作，推动我市青少年校外艺术教育事业。</w:t>
      </w:r>
    </w:p>
    <w:p>
      <w:pPr>
        <w:spacing w:line="560" w:lineRule="exact"/>
        <w:ind w:firstLine="640" w:firstLineChars="200"/>
        <w:rPr>
          <w:rFonts w:ascii="仿宋_GB2312" w:hAnsi="仿宋_GB2312" w:eastAsia="仿宋_GB2312" w:cs="仿宋_GB2312"/>
          <w:color w:val="FF0000"/>
          <w:sz w:val="30"/>
          <w:szCs w:val="30"/>
        </w:rPr>
      </w:pPr>
      <w:r>
        <w:rPr>
          <w:rFonts w:hint="eastAsia" w:eastAsia="仿宋_GB2312"/>
          <w:sz w:val="32"/>
          <w:szCs w:val="32"/>
          <w:lang w:val="en-US" w:eastAsia="zh-CN"/>
        </w:rPr>
        <w:t>2.</w:t>
      </w:r>
      <w:r>
        <w:rPr>
          <w:rFonts w:eastAsia="仿宋_GB2312"/>
          <w:sz w:val="32"/>
          <w:szCs w:val="32"/>
        </w:rPr>
        <w:t>阶段性目标</w:t>
      </w:r>
    </w:p>
    <w:p>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（1）做好每学期教育教学工作计划和工作安排；</w:t>
      </w:r>
    </w:p>
    <w:p>
      <w:pPr>
        <w:pStyle w:val="2"/>
        <w:ind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（2）做好公益性活动开展的计划和活动安排；</w:t>
      </w:r>
    </w:p>
    <w:p>
      <w:pPr>
        <w:ind w:firstLine="640" w:firstLineChars="200"/>
        <w:rPr>
          <w:rFonts w:hint="default"/>
          <w:lang w:val="en-US" w:eastAsia="zh-CN"/>
        </w:rPr>
      </w:pPr>
      <w:r>
        <w:rPr>
          <w:rFonts w:hint="eastAsia" w:ascii="仿宋_GB2312" w:hAnsi="仿宋_GB2312" w:eastAsia="仿宋_GB2312" w:cs="仿宋_GB2312"/>
          <w:b w:val="0"/>
          <w:bCs w:val="0"/>
          <w:kern w:val="2"/>
          <w:sz w:val="32"/>
          <w:szCs w:val="32"/>
          <w:lang w:val="en-US" w:eastAsia="zh-CN" w:bidi="ar-SA"/>
        </w:rPr>
        <w:t>（3）根据教学培训和公益性活动的计划内容，做好相应的活动展示和氛围营造。</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2"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1.</w:t>
      </w:r>
      <w:r>
        <w:rPr>
          <w:rFonts w:ascii="Times New Roman" w:hAnsi="Times New Roman" w:eastAsia="仿宋_GB2312"/>
          <w:b w:val="0"/>
          <w:bCs w:val="0"/>
        </w:rPr>
        <w:t>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31"/>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2.</w:t>
      </w:r>
      <w:r>
        <w:rPr>
          <w:rFonts w:ascii="Times New Roman" w:hAnsi="Times New Roman" w:eastAsia="仿宋_GB2312"/>
          <w:b w:val="0"/>
          <w:bCs w:val="0"/>
        </w:rPr>
        <w:t>绩效评价的对象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教学工作经费</w:t>
      </w:r>
      <w:r>
        <w:rPr>
          <w:rFonts w:hint="eastAsia" w:ascii="仿宋_GB2312" w:hAnsi="仿宋_GB2312" w:eastAsia="仿宋_GB2312" w:cs="仿宋_GB2312"/>
          <w:sz w:val="32"/>
          <w:szCs w:val="32"/>
        </w:rPr>
        <w:t>项目所包含的全部项目内容。</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3.</w:t>
      </w:r>
      <w:r>
        <w:rPr>
          <w:rFonts w:ascii="Times New Roman" w:hAnsi="Times New Roman" w:eastAsia="仿宋_GB2312"/>
          <w:b w:val="0"/>
          <w:bCs w:val="0"/>
        </w:rPr>
        <w:t>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lang w:eastAsia="zh-CN"/>
        </w:rPr>
        <w:t>教学工作经费项目进行评价，评价核心为专项资金的支出完成</w:t>
      </w:r>
      <w:r>
        <w:rPr>
          <w:rFonts w:hint="eastAsia" w:ascii="仿宋_GB2312" w:hAnsi="仿宋_GB2312" w:eastAsia="仿宋_GB2312" w:cs="仿宋_GB2312"/>
          <w:sz w:val="32"/>
          <w:szCs w:val="32"/>
        </w:rPr>
        <w:t>情况和效果。</w:t>
      </w:r>
    </w:p>
    <w:p>
      <w:pPr>
        <w:spacing w:line="560" w:lineRule="exact"/>
        <w:ind w:firstLine="642"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1.</w:t>
      </w:r>
      <w:r>
        <w:rPr>
          <w:rFonts w:ascii="Times New Roman" w:hAnsi="Times New Roman" w:eastAsia="仿宋_GB2312"/>
          <w:b w:val="0"/>
          <w:bCs w:val="0"/>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2.</w:t>
      </w:r>
      <w:r>
        <w:rPr>
          <w:rFonts w:ascii="Times New Roman" w:hAnsi="Times New Roman" w:eastAsia="仿宋_GB2312"/>
          <w:b w:val="0"/>
          <w:bCs w:val="0"/>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3.</w:t>
      </w:r>
      <w:r>
        <w:rPr>
          <w:rFonts w:ascii="Times New Roman" w:hAnsi="Times New Roman" w:eastAsia="仿宋_GB2312"/>
          <w:b w:val="0"/>
          <w:bCs w:val="0"/>
        </w:rPr>
        <w:t>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4.</w:t>
      </w:r>
      <w:r>
        <w:rPr>
          <w:rFonts w:ascii="Times New Roman" w:hAnsi="Times New Roman" w:eastAsia="仿宋_GB2312"/>
          <w:b w:val="0"/>
          <w:bCs w:val="0"/>
        </w:rPr>
        <w:t>评价标准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绩效评价标准通常包括计划标准、行业标准、历史标准等，用于对绩效指标完成情况进行比较、分析、评价。本次评价主要采用了计划标准。</w:t>
      </w:r>
    </w:p>
    <w:p>
      <w:pPr>
        <w:spacing w:line="560" w:lineRule="exact"/>
        <w:ind w:firstLine="708" w:firstLineChars="200"/>
        <w:rPr>
          <w:rFonts w:eastAsia="仿宋_GB2312"/>
          <w:color w:val="000000"/>
          <w:spacing w:val="17"/>
          <w:sz w:val="32"/>
          <w:szCs w:val="32"/>
        </w:rPr>
      </w:pPr>
      <w:bookmarkStart w:id="0" w:name="_Toc17882"/>
      <w:bookmarkStart w:id="1" w:name="_Toc31464"/>
      <w:r>
        <w:rPr>
          <w:rFonts w:hint="eastAsia" w:eastAsia="仿宋_GB2312"/>
          <w:color w:val="000000"/>
          <w:spacing w:val="17"/>
          <w:sz w:val="32"/>
          <w:szCs w:val="32"/>
        </w:rPr>
        <w:t>计划标准：指以预先制定的目标、计划、预算、定额等作为评价标准。</w:t>
      </w:r>
      <w:bookmarkEnd w:id="0"/>
      <w:bookmarkEnd w:id="1"/>
    </w:p>
    <w:p>
      <w:pPr>
        <w:pStyle w:val="2"/>
        <w:numPr>
          <w:ilvl w:val="0"/>
          <w:numId w:val="2"/>
        </w:numPr>
        <w:spacing w:before="0" w:after="0" w:line="560" w:lineRule="exact"/>
        <w:ind w:firstLine="710"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spacing w:line="560" w:lineRule="exact"/>
        <w:ind w:firstLine="640" w:firstLineChars="200"/>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spacing w:before="0" w:after="0" w:line="560" w:lineRule="exact"/>
        <w:ind w:firstLine="642" w:firstLineChars="200"/>
        <w:jc w:val="both"/>
        <w:rPr>
          <w:rFonts w:ascii="Times New Roman" w:hAnsi="Times New Roman" w:eastAsia="楷体_GB2312"/>
        </w:rPr>
      </w:pPr>
      <w:r>
        <w:rPr>
          <w:rFonts w:hint="eastAsia" w:ascii="Times New Roman" w:hAnsi="Times New Roman" w:eastAsia="楷体_GB2312"/>
        </w:rPr>
        <w:t>（一）评价情况</w:t>
      </w:r>
    </w:p>
    <w:p>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spacing w:before="0" w:after="0" w:line="560" w:lineRule="exact"/>
        <w:ind w:firstLine="642" w:firstLineChars="200"/>
        <w:jc w:val="both"/>
        <w:rPr>
          <w:rFonts w:ascii="Times New Roman" w:hAnsi="Times New Roman" w:eastAsia="楷体_GB2312"/>
        </w:rPr>
      </w:pPr>
      <w:r>
        <w:rPr>
          <w:rFonts w:hint="eastAsia" w:ascii="Times New Roman" w:hAnsi="Times New Roman" w:eastAsia="楷体_GB2312"/>
        </w:rPr>
        <w:t>（二）评价结论</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分。其中，项目决策类指标权重为20分，得分为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highlight w:val="none"/>
        </w:rPr>
        <w:t>分</w:t>
      </w:r>
      <w:r>
        <w:rPr>
          <w:rFonts w:hint="eastAsia" w:ascii="Times New Roman" w:hAnsi="Times New Roman" w:eastAsia="仿宋_GB2312"/>
          <w:b w:val="0"/>
          <w:bCs w:val="0"/>
          <w:highlight w:val="none"/>
          <w:lang w:eastAsia="zh-CN"/>
        </w:rPr>
        <w:t>，</w:t>
      </w:r>
      <w:r>
        <w:rPr>
          <w:rFonts w:hint="default" w:ascii="Times New Roman" w:hAnsi="Times New Roman" w:eastAsia="仿宋_GB2312" w:cs="Times New Roman"/>
          <w:b w:val="0"/>
          <w:bCs w:val="0"/>
          <w:highlight w:val="none"/>
        </w:rPr>
        <w:t>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w:t>
      </w:r>
      <w:r>
        <w:rPr>
          <w:rFonts w:hint="eastAsia" w:ascii="Times New Roman" w:hAnsi="Times New Roman" w:eastAsia="仿宋_GB2312"/>
          <w:b w:val="0"/>
          <w:bCs w:val="0"/>
          <w:highlight w:val="none"/>
          <w:lang w:eastAsia="zh-CN"/>
        </w:rPr>
        <w:t>，</w:t>
      </w:r>
      <w:r>
        <w:rPr>
          <w:rFonts w:hint="default" w:ascii="Times New Roman" w:hAnsi="Times New Roman" w:eastAsia="仿宋_GB2312" w:cs="Times New Roman"/>
          <w:b w:val="0"/>
          <w:bCs w:val="0"/>
          <w:highlight w:val="none"/>
        </w:rPr>
        <w:t>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w:t>
      </w:r>
      <w:r>
        <w:rPr>
          <w:rFonts w:hint="eastAsia" w:ascii="Times New Roman" w:hAnsi="Times New Roman" w:eastAsia="仿宋_GB2312"/>
          <w:b w:val="0"/>
          <w:bCs w:val="0"/>
          <w:highlight w:val="none"/>
          <w:lang w:eastAsia="zh-CN"/>
        </w:rPr>
        <w:t>，</w:t>
      </w:r>
      <w:r>
        <w:rPr>
          <w:rFonts w:hint="default" w:ascii="Times New Roman" w:hAnsi="Times New Roman" w:eastAsia="仿宋_GB2312" w:cs="Times New Roman"/>
          <w:b w:val="0"/>
          <w:bCs w:val="0"/>
          <w:highlight w:val="none"/>
        </w:rPr>
        <w:t>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w:t>
      </w:r>
      <w:r>
        <w:rPr>
          <w:rFonts w:hint="eastAsia" w:ascii="Times New Roman" w:hAnsi="Times New Roman" w:eastAsia="仿宋_GB2312"/>
          <w:b w:val="0"/>
          <w:bCs w:val="0"/>
          <w:highlight w:val="none"/>
          <w:lang w:eastAsia="zh-CN"/>
        </w:rPr>
        <w:t>，</w:t>
      </w:r>
      <w:r>
        <w:rPr>
          <w:rFonts w:hint="default" w:ascii="Times New Roman" w:hAnsi="Times New Roman" w:eastAsia="仿宋_GB2312" w:cs="Times New Roman"/>
          <w:b w:val="0"/>
          <w:bCs w:val="0"/>
          <w:highlight w:val="none"/>
        </w:rPr>
        <w:t xml:space="preserve">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p>
    <w:p>
      <w:pPr>
        <w:pStyle w:val="2"/>
        <w:spacing w:before="0" w:after="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2"/>
        <w:tblW w:w="9861" w:type="dxa"/>
        <w:jc w:val="center"/>
        <w:tblLayout w:type="fixed"/>
        <w:tblCellMar>
          <w:top w:w="0" w:type="dxa"/>
          <w:left w:w="108" w:type="dxa"/>
          <w:bottom w:w="0" w:type="dxa"/>
          <w:right w:w="108" w:type="dxa"/>
        </w:tblCellMar>
      </w:tblPr>
      <w:tblGrid>
        <w:gridCol w:w="3137"/>
        <w:gridCol w:w="2168"/>
        <w:gridCol w:w="227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pPr>
              <w:jc w:val="center"/>
              <w:rPr>
                <w:b/>
                <w:bCs/>
                <w:color w:val="000000"/>
                <w:sz w:val="22"/>
              </w:rPr>
            </w:pPr>
            <w:r>
              <w:rPr>
                <w:rFonts w:hint="eastAsia"/>
                <w:b/>
                <w:bCs/>
                <w:color w:val="000000"/>
                <w:sz w:val="22"/>
              </w:rPr>
              <w:t>得分</w:t>
            </w:r>
          </w:p>
        </w:tc>
        <w:tc>
          <w:tcPr>
            <w:tcW w:w="2278" w:type="dxa"/>
            <w:tcBorders>
              <w:top w:val="single" w:color="auto" w:sz="4" w:space="0"/>
              <w:left w:val="nil"/>
              <w:bottom w:val="single" w:color="auto" w:sz="4" w:space="0"/>
              <w:right w:val="single" w:color="auto" w:sz="4" w:space="0"/>
            </w:tcBorders>
            <w:shd w:val="clear" w:color="000000" w:fill="BEBEBE"/>
            <w:vAlign w:val="center"/>
          </w:tcPr>
          <w:p>
            <w:pPr>
              <w:jc w:val="center"/>
              <w:rPr>
                <w:rFonts w:hint="eastAsia"/>
                <w:b/>
                <w:bCs/>
                <w:color w:val="000000"/>
                <w:sz w:val="22"/>
              </w:rPr>
            </w:pPr>
            <w:r>
              <w:rPr>
                <w:rFonts w:hint="eastAsia" w:eastAsia="仿宋_GB2312" w:cs="Times New Roman"/>
                <w:b/>
                <w:bCs/>
                <w:color w:val="000000"/>
                <w:sz w:val="21"/>
                <w:szCs w:val="21"/>
                <w:lang w:val="en-US" w:eastAsia="zh-CN"/>
              </w:rPr>
              <w:t>得分率</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color w:val="000000"/>
                <w:sz w:val="22"/>
                <w:lang w:val="en-US" w:eastAsia="zh-CN"/>
              </w:rPr>
            </w:pPr>
            <w:r>
              <w:rPr>
                <w:rFonts w:hint="eastAsia"/>
                <w:color w:val="000000"/>
                <w:sz w:val="22"/>
                <w:lang w:val="en-US" w:eastAsia="zh-CN"/>
              </w:rPr>
              <w:t>100%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color w:val="000000"/>
                <w:sz w:val="22"/>
                <w:lang w:val="en-US" w:eastAsia="zh-CN"/>
              </w:rPr>
            </w:pPr>
            <w:r>
              <w:rPr>
                <w:rFonts w:hint="eastAsia"/>
                <w:color w:val="000000"/>
                <w:sz w:val="22"/>
                <w:lang w:val="en-US" w:eastAsia="zh-CN"/>
              </w:rPr>
              <w:t>100%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color w:val="000000"/>
                <w:sz w:val="22"/>
                <w:lang w:val="en-US" w:eastAsia="zh-CN"/>
              </w:rPr>
            </w:pPr>
            <w:r>
              <w:rPr>
                <w:rFonts w:hint="eastAsia"/>
                <w:color w:val="000000"/>
                <w:sz w:val="22"/>
                <w:lang w:val="en-US" w:eastAsia="zh-CN"/>
              </w:rPr>
              <w:t>100%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color w:val="000000"/>
                <w:sz w:val="22"/>
                <w:lang w:val="en-US" w:eastAsia="zh-CN"/>
              </w:rPr>
            </w:pPr>
            <w:r>
              <w:rPr>
                <w:rFonts w:hint="eastAsia"/>
                <w:color w:val="000000"/>
                <w:sz w:val="22"/>
                <w:lang w:val="en-US" w:eastAsia="zh-CN"/>
              </w:rPr>
              <w:t>100%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b/>
                <w:bCs/>
                <w:color w:val="000000"/>
                <w:sz w:val="22"/>
                <w:lang w:val="en-US" w:eastAsia="zh-CN"/>
              </w:rPr>
            </w:pPr>
            <w:r>
              <w:rPr>
                <w:rFonts w:hint="eastAsia"/>
                <w:color w:val="000000"/>
                <w:sz w:val="22"/>
                <w:lang w:val="en-US" w:eastAsia="zh-CN"/>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2"/>
        <w:spacing w:before="0" w:after="0" w:line="560" w:lineRule="exact"/>
        <w:ind w:firstLine="642"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hint="eastAsia" w:ascii="仿宋_GB2312" w:hAnsi="仿宋_GB2312" w:eastAsia="仿宋_GB2312" w:cs="仿宋_GB2312"/>
          <w:sz w:val="30"/>
          <w:szCs w:val="30"/>
        </w:rPr>
      </w:pPr>
      <w:r>
        <w:rPr>
          <w:rFonts w:hint="eastAsia" w:ascii="仿宋_GB2312" w:hAnsi="仿宋_GB2312" w:eastAsia="仿宋_GB2312" w:cs="仿宋_GB2312"/>
          <w:sz w:val="32"/>
          <w:szCs w:val="32"/>
        </w:rPr>
        <w:t>项目决策类指标包括项目立项、绩效目标和资金投入三方面的内容，由6个三级指标构成，权重分值为20分，实际得分</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3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pStyle w:val="3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pPr>
        <w:pStyle w:val="3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pPr>
        <w:pStyle w:val="2"/>
        <w:numPr>
          <w:ilvl w:val="0"/>
          <w:numId w:val="4"/>
        </w:numPr>
        <w:spacing w:before="0" w:after="0" w:line="560" w:lineRule="exact"/>
        <w:ind w:firstLine="642" w:firstLineChars="200"/>
        <w:jc w:val="both"/>
        <w:rPr>
          <w:rFonts w:ascii="楷体" w:hAnsi="楷体" w:eastAsia="楷体" w:cs="楷体"/>
        </w:rPr>
      </w:pPr>
      <w:r>
        <w:rPr>
          <w:rFonts w:hint="eastAsia" w:ascii="楷体" w:hAnsi="楷体" w:eastAsia="楷体" w:cs="楷体"/>
        </w:rPr>
        <w:t>项目过程情况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项目过程类指标包括资金管理和组织实施两方面的内容，由5个三级指标构成，权重分值为20分，实际得分</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3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万元，财政资金及时足额到位，到位率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%，预算资金按计划进度执行。</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（2）预算执行率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预算编制较为详细，项目资金支出总体能够按照预算执行，预算资金支出</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31"/>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10"/>
        <w:numPr>
          <w:ilvl w:val="0"/>
          <w:numId w:val="4"/>
        </w:numPr>
        <w:spacing w:line="560" w:lineRule="exact"/>
        <w:ind w:firstLine="640"/>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个三级指标构成，权重分为40分，实际得分</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%。具体产出指标完成情况如下：</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数量指标：</w:t>
      </w:r>
    </w:p>
    <w:p>
      <w:pPr>
        <w:spacing w:line="600" w:lineRule="exact"/>
        <w:ind w:firstLine="640" w:firstLineChars="200"/>
        <w:outlineLvl w:val="0"/>
        <w:rPr>
          <w:rFonts w:hint="eastAsia" w:eastAsia="仿宋_GB2312"/>
          <w:lang w:eastAsia="zh-CN"/>
        </w:rPr>
      </w:pPr>
      <w:r>
        <w:rPr>
          <w:rFonts w:hint="eastAsia" w:ascii="仿宋_GB2312" w:hAnsi="仿宋_GB2312" w:eastAsia="仿宋_GB2312" w:cs="仿宋_GB2312"/>
          <w:sz w:val="32"/>
          <w:szCs w:val="32"/>
          <w:lang w:eastAsia="zh-CN"/>
        </w:rPr>
        <w:t>教师人数</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val="en-US" w:eastAsia="zh-CN"/>
        </w:rPr>
        <w:t>=13人</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24人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184.6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偏差原因：因开设专业增加并且都能正常开班，达到开班培训的要求，因此培训教师人数有所增加。</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质量指标：</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学期教学合格率，指标值：=100%，实际完成值：=100%，指标完成率100%。</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时效指标：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按期安排</w:t>
      </w:r>
      <w:r>
        <w:rPr>
          <w:rFonts w:hint="eastAsia" w:ascii="仿宋_GB2312" w:hAnsi="仿宋_GB2312" w:eastAsia="仿宋_GB2312" w:cs="仿宋_GB2312"/>
          <w:sz w:val="32"/>
          <w:szCs w:val="32"/>
          <w:lang w:eastAsia="zh-CN"/>
        </w:rPr>
        <w:t>教学活动</w:t>
      </w:r>
      <w:r>
        <w:rPr>
          <w:rFonts w:hint="eastAsia" w:ascii="仿宋_GB2312" w:hAnsi="仿宋_GB2312" w:eastAsia="仿宋_GB2312" w:cs="仿宋_GB2312"/>
          <w:sz w:val="32"/>
          <w:szCs w:val="32"/>
        </w:rPr>
        <w:t>培训，指标值：=100%，实际完成值：=100%，指标完成率100%。</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成本指标：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1：公益性课时费，</w:t>
      </w:r>
      <w:r>
        <w:rPr>
          <w:rFonts w:hint="eastAsia" w:ascii="仿宋_GB2312" w:hAnsi="仿宋_GB2312" w:eastAsia="仿宋_GB2312" w:cs="仿宋_GB2312"/>
          <w:sz w:val="32"/>
          <w:szCs w:val="32"/>
        </w:rPr>
        <w:t>指标值：</w:t>
      </w:r>
      <w:r>
        <w:rPr>
          <w:rFonts w:hint="eastAsia" w:ascii="宋体" w:hAnsi="宋体" w:eastAsia="宋体" w:cs="宋体"/>
          <w:sz w:val="32"/>
          <w:szCs w:val="32"/>
        </w:rPr>
        <w:t>≦</w:t>
      </w:r>
      <w:r>
        <w:rPr>
          <w:rFonts w:hint="eastAsia" w:ascii="宋体" w:hAnsi="宋体" w:cs="宋体"/>
          <w:sz w:val="32"/>
          <w:szCs w:val="32"/>
          <w:lang w:val="en-US" w:eastAsia="zh-CN"/>
        </w:rPr>
        <w:t>4万元</w:t>
      </w:r>
      <w:r>
        <w:rPr>
          <w:rFonts w:hint="eastAsia" w:ascii="仿宋_GB2312" w:hAnsi="仿宋_GB2312" w:eastAsia="仿宋_GB2312" w:cs="仿宋_GB2312"/>
          <w:sz w:val="32"/>
          <w:szCs w:val="32"/>
        </w:rPr>
        <w:t>，实际完成值：</w:t>
      </w:r>
      <w:r>
        <w:rPr>
          <w:rFonts w:hint="eastAsia" w:ascii="宋体" w:hAnsi="宋体" w:cs="宋体"/>
          <w:sz w:val="32"/>
          <w:szCs w:val="32"/>
          <w:lang w:val="en-US" w:eastAsia="zh-CN"/>
        </w:rPr>
        <w:t>4万元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2：课时费，</w:t>
      </w:r>
      <w:r>
        <w:rPr>
          <w:rFonts w:hint="eastAsia" w:ascii="仿宋_GB2312" w:hAnsi="仿宋_GB2312" w:eastAsia="仿宋_GB2312" w:cs="仿宋_GB2312"/>
          <w:sz w:val="32"/>
          <w:szCs w:val="32"/>
        </w:rPr>
        <w:t>指标值：</w:t>
      </w:r>
      <w:r>
        <w:rPr>
          <w:rFonts w:hint="eastAsia" w:ascii="宋体" w:hAnsi="宋体" w:eastAsia="宋体" w:cs="宋体"/>
          <w:sz w:val="32"/>
          <w:szCs w:val="32"/>
        </w:rPr>
        <w:t>≦</w:t>
      </w:r>
      <w:r>
        <w:rPr>
          <w:rFonts w:hint="eastAsia" w:ascii="宋体" w:hAnsi="宋体" w:cs="宋体"/>
          <w:sz w:val="32"/>
          <w:szCs w:val="32"/>
          <w:lang w:val="en-US" w:eastAsia="zh-CN"/>
        </w:rPr>
        <w:t>40万元</w:t>
      </w:r>
      <w:r>
        <w:rPr>
          <w:rFonts w:hint="eastAsia" w:ascii="仿宋_GB2312" w:hAnsi="仿宋_GB2312" w:eastAsia="仿宋_GB2312" w:cs="仿宋_GB2312"/>
          <w:sz w:val="32"/>
          <w:szCs w:val="32"/>
        </w:rPr>
        <w:t>，实际完成值：</w:t>
      </w:r>
      <w:r>
        <w:rPr>
          <w:rFonts w:hint="eastAsia" w:ascii="宋体" w:hAnsi="宋体" w:cs="宋体"/>
          <w:sz w:val="32"/>
          <w:szCs w:val="32"/>
          <w:lang w:val="en-US" w:eastAsia="zh-CN"/>
        </w:rPr>
        <w:t>40万元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default" w:eastAsia="仿宋_GB2312"/>
          <w:lang w:val="en-US" w:eastAsia="zh-CN"/>
        </w:rPr>
      </w:pPr>
      <w:r>
        <w:rPr>
          <w:rFonts w:hint="eastAsia" w:ascii="仿宋_GB2312" w:hAnsi="仿宋_GB2312" w:eastAsia="仿宋_GB2312" w:cs="仿宋_GB2312"/>
          <w:sz w:val="32"/>
          <w:szCs w:val="32"/>
          <w:lang w:eastAsia="zh-CN"/>
        </w:rPr>
        <w:t>指标</w:t>
      </w:r>
      <w:r>
        <w:rPr>
          <w:rFonts w:hint="eastAsia" w:ascii="仿宋_GB2312" w:hAnsi="仿宋_GB2312" w:eastAsia="仿宋_GB2312" w:cs="仿宋_GB2312"/>
          <w:sz w:val="32"/>
          <w:szCs w:val="32"/>
          <w:lang w:val="en-US" w:eastAsia="zh-CN"/>
        </w:rPr>
        <w:t>3：教学业务活动经费，</w:t>
      </w:r>
      <w:r>
        <w:rPr>
          <w:rFonts w:hint="eastAsia" w:ascii="仿宋_GB2312" w:hAnsi="仿宋_GB2312" w:eastAsia="仿宋_GB2312" w:cs="仿宋_GB2312"/>
          <w:sz w:val="32"/>
          <w:szCs w:val="32"/>
          <w:lang w:eastAsia="zh-CN"/>
        </w:rPr>
        <w:t>指标值：</w:t>
      </w:r>
      <w:r>
        <w:rPr>
          <w:rFonts w:hint="eastAsia" w:ascii="宋体" w:hAnsi="宋体" w:eastAsia="宋体" w:cs="宋体"/>
          <w:sz w:val="32"/>
          <w:szCs w:val="32"/>
        </w:rPr>
        <w:t>≦</w:t>
      </w:r>
      <w:r>
        <w:rPr>
          <w:rFonts w:hint="eastAsia" w:ascii="宋体" w:hAnsi="宋体" w:cs="宋体"/>
          <w:sz w:val="32"/>
          <w:szCs w:val="32"/>
          <w:lang w:val="en-US" w:eastAsia="zh-CN"/>
        </w:rPr>
        <w:t>6万元</w:t>
      </w:r>
      <w:r>
        <w:rPr>
          <w:rFonts w:hint="eastAsia" w:ascii="仿宋_GB2312" w:hAnsi="仿宋_GB2312" w:eastAsia="仿宋_GB2312" w:cs="仿宋_GB2312"/>
          <w:sz w:val="32"/>
          <w:szCs w:val="32"/>
          <w:lang w:eastAsia="zh-CN"/>
        </w:rPr>
        <w:t>，实际完成值：</w:t>
      </w:r>
      <w:r>
        <w:rPr>
          <w:rFonts w:hint="eastAsia" w:ascii="宋体" w:hAnsi="宋体" w:cs="宋体"/>
          <w:sz w:val="32"/>
          <w:szCs w:val="32"/>
          <w:lang w:val="en-US" w:eastAsia="zh-CN"/>
        </w:rPr>
        <w:t>6万元</w:t>
      </w:r>
      <w:r>
        <w:rPr>
          <w:rFonts w:hint="eastAsia" w:ascii="仿宋_GB2312" w:hAnsi="仿宋_GB2312" w:eastAsia="仿宋_GB2312" w:cs="仿宋_GB2312"/>
          <w:sz w:val="32"/>
          <w:szCs w:val="32"/>
          <w:lang w:eastAsia="zh-CN"/>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pStyle w:val="10"/>
        <w:numPr>
          <w:ilvl w:val="0"/>
          <w:numId w:val="4"/>
        </w:numPr>
        <w:spacing w:line="560" w:lineRule="exact"/>
        <w:ind w:firstLine="640"/>
        <w:rPr>
          <w:rFonts w:eastAsia="楷体_GB2312"/>
          <w:b/>
          <w:bCs/>
          <w:sz w:val="32"/>
          <w:szCs w:val="32"/>
        </w:rPr>
      </w:pPr>
      <w:r>
        <w:rPr>
          <w:rFonts w:hint="eastAsia" w:eastAsia="楷体_GB2312"/>
          <w:b/>
          <w:bCs/>
          <w:sz w:val="32"/>
          <w:szCs w:val="32"/>
        </w:rPr>
        <w:t>项目效益情况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个三级指标构成，权重分为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0分，实际得分</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%。具体效益指标及满意度指标完成情况如下：</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1.实施效益</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①社会效益指标：</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保障教学工作正常开展，</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val="en-US" w:eastAsia="zh-CN"/>
        </w:rPr>
        <w:t>有效保障</w:t>
      </w:r>
      <w:r>
        <w:rPr>
          <w:rFonts w:hint="eastAsia" w:ascii="仿宋_GB2312" w:hAnsi="仿宋_GB2312" w:eastAsia="仿宋_GB2312" w:cs="仿宋_GB2312"/>
          <w:sz w:val="32"/>
          <w:szCs w:val="32"/>
        </w:rPr>
        <w:t>，实际完成值：=100%，指标完成率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定期安排公益性活动、提升公益性活动的影响，指标值：不断提升，实际完成值：=100%，指标完成率100%。</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2.满意度</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满意度指标：</w:t>
      </w:r>
    </w:p>
    <w:p>
      <w:pPr>
        <w:spacing w:line="600" w:lineRule="exact"/>
        <w:ind w:firstLine="640" w:firstLineChars="200"/>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教师满意度（%），</w:t>
      </w:r>
      <w:r>
        <w:rPr>
          <w:rFonts w:hint="eastAsia" w:ascii="仿宋_GB2312" w:hAnsi="仿宋_GB2312" w:eastAsia="仿宋_GB2312" w:cs="仿宋_GB2312"/>
          <w:sz w:val="32"/>
          <w:szCs w:val="32"/>
        </w:rPr>
        <w:t>指标值：=100%，实际完成值：=100%，指标完成率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560" w:lineRule="exact"/>
        <w:ind w:firstLine="640" w:firstLineChars="200"/>
        <w:rPr>
          <w:rFonts w:eastAsia="黑体"/>
          <w:sz w:val="32"/>
          <w:szCs w:val="32"/>
        </w:rPr>
      </w:pPr>
      <w:r>
        <w:rPr>
          <w:rFonts w:hint="eastAsia" w:eastAsia="黑体"/>
          <w:sz w:val="32"/>
          <w:szCs w:val="32"/>
        </w:rPr>
        <w:t>五、预算执行进度与绩效指标总体完成率偏差</w:t>
      </w:r>
    </w:p>
    <w:p>
      <w:pPr>
        <w:pStyle w:val="31"/>
        <w:spacing w:line="520" w:lineRule="exact"/>
        <w:ind w:firstLine="640"/>
        <w:rPr>
          <w:rFonts w:hint="eastAsia" w:ascii="仿宋_GB2312" w:eastAsia="仿宋_GB2312"/>
          <w:color w:val="000000" w:themeColor="text1"/>
          <w:kern w:val="2"/>
          <w:sz w:val="30"/>
          <w:szCs w:val="24"/>
          <w:shd w:val="clear" w:color="auto" w:fill="auto"/>
          <w14:textFill>
            <w14:solidFill>
              <w14:schemeClr w14:val="tx1"/>
            </w14:solidFill>
          </w14:textFill>
        </w:rPr>
      </w:pPr>
      <w:r>
        <w:rPr>
          <w:rFonts w:hint="eastAsia" w:ascii="仿宋_GB2312" w:eastAsia="仿宋_GB2312"/>
          <w:kern w:val="2"/>
          <w:sz w:val="32"/>
          <w:szCs w:val="32"/>
          <w:lang w:eastAsia="zh-CN"/>
        </w:rPr>
        <w:t>教学工作经费</w:t>
      </w:r>
      <w:r>
        <w:rPr>
          <w:rFonts w:hint="eastAsia" w:ascii="仿宋_GB2312" w:eastAsia="仿宋_GB2312"/>
          <w:kern w:val="2"/>
          <w:sz w:val="32"/>
          <w:szCs w:val="32"/>
        </w:rPr>
        <w:t>项目年初预算</w:t>
      </w:r>
      <w:r>
        <w:rPr>
          <w:rFonts w:hint="eastAsia" w:ascii="仿宋_GB2312" w:eastAsia="仿宋_GB2312"/>
          <w:kern w:val="2"/>
          <w:sz w:val="32"/>
          <w:szCs w:val="32"/>
          <w:lang w:val="en-US" w:eastAsia="zh-CN"/>
        </w:rPr>
        <w:t>50</w:t>
      </w:r>
      <w:r>
        <w:rPr>
          <w:rFonts w:hint="eastAsia" w:ascii="仿宋_GB2312" w:eastAsia="仿宋_GB2312"/>
          <w:kern w:val="2"/>
          <w:sz w:val="32"/>
          <w:szCs w:val="32"/>
        </w:rPr>
        <w:t>万元，全年预算</w:t>
      </w:r>
      <w:r>
        <w:rPr>
          <w:rFonts w:hint="eastAsia" w:ascii="仿宋_GB2312" w:eastAsia="仿宋_GB2312"/>
          <w:kern w:val="2"/>
          <w:sz w:val="32"/>
          <w:szCs w:val="32"/>
          <w:lang w:val="en-US" w:eastAsia="zh-CN"/>
        </w:rPr>
        <w:t>50</w:t>
      </w:r>
      <w:r>
        <w:rPr>
          <w:rFonts w:hint="eastAsia" w:ascii="仿宋_GB2312" w:eastAsia="仿宋_GB2312"/>
          <w:kern w:val="2"/>
          <w:sz w:val="32"/>
          <w:szCs w:val="32"/>
        </w:rPr>
        <w:t>万元，实际支出</w:t>
      </w:r>
      <w:r>
        <w:rPr>
          <w:rFonts w:hint="eastAsia" w:ascii="仿宋_GB2312" w:eastAsia="仿宋_GB2312"/>
          <w:kern w:val="2"/>
          <w:sz w:val="32"/>
          <w:szCs w:val="32"/>
          <w:lang w:val="en-US" w:eastAsia="zh-CN"/>
        </w:rPr>
        <w:t>50</w:t>
      </w:r>
      <w:r>
        <w:rPr>
          <w:rFonts w:hint="eastAsia" w:ascii="仿宋_GB2312" w:eastAsia="仿宋_GB2312"/>
          <w:kern w:val="2"/>
          <w:sz w:val="32"/>
          <w:szCs w:val="32"/>
        </w:rPr>
        <w:t>万元，</w:t>
      </w:r>
      <w:r>
        <w:rPr>
          <w:rFonts w:hint="eastAsia" w:ascii="仿宋_GB2312" w:eastAsia="仿宋_GB2312"/>
          <w:color w:val="000000" w:themeColor="text1"/>
          <w:kern w:val="2"/>
          <w:sz w:val="32"/>
          <w:szCs w:val="32"/>
          <w:shd w:val="clear" w:color="auto" w:fill="auto"/>
          <w14:textFill>
            <w14:solidFill>
              <w14:schemeClr w14:val="tx1"/>
            </w14:solidFill>
          </w14:textFill>
        </w:rPr>
        <w:t>预算执行率为</w:t>
      </w:r>
      <w:r>
        <w:rPr>
          <w:rFonts w:hint="eastAsia" w:ascii="仿宋_GB2312" w:eastAsia="仿宋_GB2312"/>
          <w:color w:val="000000" w:themeColor="text1"/>
          <w:kern w:val="2"/>
          <w:sz w:val="32"/>
          <w:szCs w:val="32"/>
          <w:shd w:val="clear" w:color="auto" w:fill="auto"/>
          <w:lang w:val="en-US" w:eastAsia="zh-CN"/>
          <w14:textFill>
            <w14:solidFill>
              <w14:schemeClr w14:val="tx1"/>
            </w14:solidFill>
          </w14:textFill>
        </w:rPr>
        <w:t>100</w:t>
      </w:r>
      <w:r>
        <w:rPr>
          <w:rFonts w:hint="eastAsia" w:ascii="仿宋_GB2312" w:eastAsia="仿宋_GB2312"/>
          <w:color w:val="000000" w:themeColor="text1"/>
          <w:kern w:val="2"/>
          <w:sz w:val="32"/>
          <w:szCs w:val="32"/>
          <w:shd w:val="clear" w:color="auto" w:fill="auto"/>
          <w14:textFill>
            <w14:solidFill>
              <w14:schemeClr w14:val="tx1"/>
            </w14:solidFill>
          </w14:textFill>
        </w:rPr>
        <w:t>%，项目绩效指标总体完成率为</w:t>
      </w:r>
      <w:r>
        <w:rPr>
          <w:rFonts w:hint="eastAsia" w:ascii="仿宋_GB2312" w:eastAsia="仿宋_GB2312"/>
          <w:color w:val="000000" w:themeColor="text1"/>
          <w:kern w:val="2"/>
          <w:sz w:val="32"/>
          <w:szCs w:val="32"/>
          <w:shd w:val="clear" w:color="auto" w:fill="auto"/>
          <w:lang w:val="en-US" w:eastAsia="zh-CN"/>
          <w14:textFill>
            <w14:solidFill>
              <w14:schemeClr w14:val="tx1"/>
            </w14:solidFill>
          </w14:textFill>
        </w:rPr>
        <w:t>100</w:t>
      </w:r>
      <w:r>
        <w:rPr>
          <w:rFonts w:hint="eastAsia" w:ascii="仿宋_GB2312" w:eastAsia="仿宋_GB2312"/>
          <w:color w:val="000000" w:themeColor="text1"/>
          <w:kern w:val="2"/>
          <w:sz w:val="32"/>
          <w:szCs w:val="32"/>
          <w:shd w:val="clear" w:color="auto" w:fill="auto"/>
          <w14:textFill>
            <w14:solidFill>
              <w14:schemeClr w14:val="tx1"/>
            </w14:solidFill>
          </w14:textFill>
        </w:rPr>
        <w:t>%。</w:t>
      </w:r>
    </w:p>
    <w:p>
      <w:pPr>
        <w:spacing w:line="560" w:lineRule="exact"/>
        <w:ind w:firstLine="640" w:firstLineChars="200"/>
        <w:rPr>
          <w:rStyle w:val="30"/>
          <w:rFonts w:ascii="Times New Roman" w:hAnsi="Times New Roman" w:cs="Times New Roman"/>
          <w:color w:val="auto"/>
        </w:rPr>
      </w:pPr>
      <w:r>
        <w:rPr>
          <w:rFonts w:hint="eastAsia" w:eastAsia="黑体"/>
          <w:sz w:val="32"/>
          <w:szCs w:val="32"/>
        </w:rPr>
        <w:t>六</w:t>
      </w:r>
      <w:r>
        <w:rPr>
          <w:rFonts w:eastAsia="黑体"/>
          <w:sz w:val="32"/>
          <w:szCs w:val="32"/>
        </w:rPr>
        <w:t>、主要经验及做法、存在的问题及原因分析</w:t>
      </w:r>
    </w:p>
    <w:p>
      <w:pPr>
        <w:pStyle w:val="33"/>
        <w:spacing w:line="560" w:lineRule="exact"/>
        <w:ind w:left="420"/>
        <w:rPr>
          <w:rFonts w:hint="eastAsia" w:ascii="仿宋_GB2312" w:eastAsia="仿宋_GB2312"/>
          <w:b w:val="0"/>
          <w:snapToGrid/>
          <w:kern w:val="2"/>
          <w:sz w:val="32"/>
          <w:szCs w:val="32"/>
        </w:rPr>
      </w:pPr>
      <w:r>
        <w:rPr>
          <w:rFonts w:hint="eastAsia" w:ascii="仿宋_GB2312" w:eastAsia="仿宋_GB2312"/>
          <w:b w:val="0"/>
          <w:snapToGrid/>
          <w:kern w:val="2"/>
          <w:sz w:val="32"/>
          <w:szCs w:val="32"/>
        </w:rPr>
        <w:t>（一）主要经验及做法</w:t>
      </w:r>
    </w:p>
    <w:p>
      <w:pPr>
        <w:pStyle w:val="31"/>
        <w:spacing w:line="520" w:lineRule="exact"/>
        <w:ind w:firstLine="640"/>
        <w:rPr>
          <w:rFonts w:hint="eastAsia" w:ascii="仿宋_GB2312" w:eastAsia="仿宋_GB2312"/>
          <w:kern w:val="2"/>
          <w:sz w:val="32"/>
          <w:szCs w:val="32"/>
        </w:rPr>
      </w:pPr>
      <w:r>
        <w:rPr>
          <w:rFonts w:hint="eastAsia" w:ascii="仿宋_GB2312" w:eastAsia="仿宋_GB2312"/>
          <w:kern w:val="2"/>
          <w:sz w:val="32"/>
          <w:szCs w:val="32"/>
          <w:lang w:val="en-US" w:eastAsia="zh-CN"/>
        </w:rPr>
        <w:t>1.</w:t>
      </w:r>
      <w:r>
        <w:rPr>
          <w:rFonts w:hint="eastAsia" w:ascii="仿宋_GB2312" w:eastAsia="仿宋_GB2312"/>
          <w:kern w:val="2"/>
          <w:sz w:val="32"/>
          <w:szCs w:val="32"/>
        </w:rPr>
        <w:t>严格执行财政部门下发的经费管理要求进行开支和管理，按照年初各部门详细填列预算开支项目，严格遵守节约制度，落实地方财政预算管理、采购管理、财务管理等相关管理制度。</w:t>
      </w:r>
    </w:p>
    <w:p>
      <w:pPr>
        <w:pStyle w:val="31"/>
        <w:spacing w:line="520" w:lineRule="exact"/>
        <w:ind w:firstLine="640"/>
        <w:rPr>
          <w:rFonts w:hint="eastAsia" w:ascii="仿宋_GB2312" w:eastAsia="仿宋_GB2312"/>
          <w:kern w:val="2"/>
          <w:sz w:val="32"/>
          <w:szCs w:val="32"/>
        </w:rPr>
      </w:pPr>
      <w:r>
        <w:rPr>
          <w:rFonts w:hint="eastAsia" w:ascii="仿宋_GB2312" w:eastAsia="仿宋_GB2312"/>
          <w:kern w:val="2"/>
          <w:sz w:val="32"/>
          <w:szCs w:val="32"/>
          <w:lang w:val="en-US" w:eastAsia="zh-CN"/>
        </w:rPr>
        <w:t>2.</w:t>
      </w:r>
      <w:r>
        <w:rPr>
          <w:rFonts w:hint="eastAsia" w:ascii="仿宋_GB2312" w:eastAsia="仿宋_GB2312"/>
          <w:kern w:val="2"/>
          <w:sz w:val="32"/>
          <w:szCs w:val="32"/>
        </w:rPr>
        <w:t>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pPr>
        <w:pStyle w:val="31"/>
        <w:spacing w:line="520" w:lineRule="exact"/>
        <w:ind w:firstLine="640"/>
        <w:rPr>
          <w:rFonts w:hint="eastAsia" w:ascii="仿宋_GB2312" w:eastAsia="仿宋_GB2312"/>
          <w:kern w:val="2"/>
          <w:sz w:val="32"/>
          <w:szCs w:val="32"/>
        </w:rPr>
      </w:pPr>
      <w:r>
        <w:rPr>
          <w:rFonts w:hint="eastAsia" w:ascii="仿宋_GB2312" w:eastAsia="仿宋_GB2312"/>
          <w:kern w:val="2"/>
          <w:sz w:val="32"/>
          <w:szCs w:val="32"/>
          <w:lang w:val="en-US" w:eastAsia="zh-CN"/>
        </w:rPr>
        <w:t>3.</w:t>
      </w:r>
      <w:r>
        <w:rPr>
          <w:rFonts w:hint="eastAsia" w:ascii="仿宋_GB2312" w:eastAsia="仿宋_GB2312"/>
          <w:kern w:val="2"/>
          <w:sz w:val="32"/>
          <w:szCs w:val="32"/>
        </w:rPr>
        <w:t>进一步完善绩效评价、监督机制等方面的制度建设，扩大绩效评价的范围，对项目实施效果进行绩效跟踪和多方评估。对部门预算安排的项目支出，项目实施单位除提供相关依据外，必须报送绩效报告。</w:t>
      </w:r>
    </w:p>
    <w:p>
      <w:pPr>
        <w:keepNext/>
        <w:keepLines/>
        <w:numPr>
          <w:ilvl w:val="0"/>
          <w:numId w:val="5"/>
        </w:numPr>
        <w:spacing w:line="560" w:lineRule="exact"/>
        <w:ind w:firstLine="642" w:firstLineChars="200"/>
        <w:rPr>
          <w:rFonts w:eastAsia="楷体_GB2312"/>
          <w:b/>
          <w:bCs/>
          <w:sz w:val="32"/>
          <w:szCs w:val="32"/>
        </w:rPr>
      </w:pPr>
      <w:r>
        <w:rPr>
          <w:rFonts w:eastAsia="楷体_GB2312"/>
          <w:b/>
          <w:bCs/>
          <w:sz w:val="32"/>
          <w:szCs w:val="32"/>
        </w:rPr>
        <w:t>存在的问题及原因分析</w:t>
      </w:r>
    </w:p>
    <w:p>
      <w:pPr>
        <w:spacing w:line="300" w:lineRule="auto"/>
        <w:ind w:firstLine="565"/>
        <w:rPr>
          <w:rStyle w:val="15"/>
          <w:rFonts w:ascii="仿宋_GB2312" w:hAnsi="仿宋_GB2312" w:eastAsia="仿宋_GB2312" w:cs="仿宋_GB2312"/>
          <w:b w:val="0"/>
          <w:bCs w:val="0"/>
          <w:color w:val="000000"/>
          <w:spacing w:val="-4"/>
          <w:sz w:val="32"/>
          <w:szCs w:val="32"/>
        </w:rPr>
      </w:pPr>
      <w:r>
        <w:rPr>
          <w:rStyle w:val="15"/>
          <w:rFonts w:hint="eastAsia" w:ascii="仿宋_GB2312" w:hAnsi="仿宋_GB2312" w:eastAsia="仿宋_GB2312" w:cs="仿宋_GB2312"/>
          <w:b w:val="0"/>
          <w:bCs w:val="0"/>
          <w:color w:val="000000"/>
          <w:spacing w:val="-4"/>
          <w:sz w:val="32"/>
          <w:szCs w:val="32"/>
          <w:lang w:val="en-US" w:eastAsia="zh-CN"/>
        </w:rPr>
        <w:t>1.</w:t>
      </w:r>
      <w:r>
        <w:rPr>
          <w:rStyle w:val="15"/>
          <w:rFonts w:hint="eastAsia" w:ascii="仿宋_GB2312" w:hAnsi="仿宋_GB2312" w:eastAsia="仿宋_GB2312" w:cs="仿宋_GB2312"/>
          <w:b w:val="0"/>
          <w:bCs w:val="0"/>
          <w:color w:val="000000"/>
          <w:spacing w:val="-4"/>
          <w:sz w:val="32"/>
          <w:szCs w:val="32"/>
        </w:rPr>
        <w:t>由于青年宫</w:t>
      </w:r>
      <w:r>
        <w:rPr>
          <w:rStyle w:val="15"/>
          <w:rFonts w:hint="eastAsia" w:ascii="仿宋_GB2312" w:hAnsi="仿宋_GB2312" w:eastAsia="仿宋_GB2312" w:cs="仿宋_GB2312"/>
          <w:b w:val="0"/>
          <w:bCs w:val="0"/>
          <w:color w:val="000000"/>
          <w:spacing w:val="-4"/>
          <w:sz w:val="32"/>
          <w:szCs w:val="32"/>
          <w:lang w:eastAsia="zh-CN"/>
        </w:rPr>
        <w:t>至目前未有培训场所，仍在</w:t>
      </w:r>
      <w:r>
        <w:rPr>
          <w:rStyle w:val="15"/>
          <w:rFonts w:hint="eastAsia" w:ascii="仿宋_GB2312" w:hAnsi="仿宋_GB2312" w:eastAsia="仿宋_GB2312" w:cs="仿宋_GB2312"/>
          <w:b w:val="0"/>
          <w:bCs w:val="0"/>
          <w:color w:val="000000"/>
          <w:spacing w:val="-4"/>
          <w:sz w:val="32"/>
          <w:szCs w:val="32"/>
        </w:rPr>
        <w:t>借用少儿活动中心的教室，场地受限，教育教学培训活动开展不便利，影响到专业教学培训的进行，对专业培训拓展起到了制约性。</w:t>
      </w:r>
    </w:p>
    <w:p>
      <w:pPr>
        <w:spacing w:line="600" w:lineRule="exact"/>
        <w:ind w:firstLine="624" w:firstLineChars="200"/>
        <w:outlineLvl w:val="0"/>
        <w:rPr>
          <w:rFonts w:hint="eastAsia" w:ascii="仿宋_GB2312" w:hAnsi="仿宋_GB2312" w:eastAsia="仿宋_GB2312"/>
          <w:spacing w:val="-5"/>
          <w:sz w:val="32"/>
          <w:szCs w:val="32"/>
        </w:rPr>
      </w:pPr>
      <w:r>
        <w:rPr>
          <w:rStyle w:val="15"/>
          <w:rFonts w:hint="eastAsia" w:ascii="仿宋_GB2312" w:hAnsi="仿宋_GB2312" w:eastAsia="仿宋_GB2312" w:cs="仿宋_GB2312"/>
          <w:b w:val="0"/>
          <w:bCs w:val="0"/>
          <w:color w:val="000000"/>
          <w:spacing w:val="-4"/>
          <w:sz w:val="32"/>
          <w:szCs w:val="32"/>
          <w:lang w:val="en-US" w:eastAsia="zh-CN"/>
        </w:rPr>
        <w:t>2.</w:t>
      </w:r>
      <w:r>
        <w:rPr>
          <w:rFonts w:hint="eastAsia" w:ascii="仿宋_GB2312" w:hAnsi="仿宋_GB2312" w:eastAsia="仿宋_GB2312"/>
          <w:spacing w:val="-5"/>
          <w:sz w:val="32"/>
          <w:szCs w:val="32"/>
        </w:rPr>
        <w:t>绩效评价方面还有待加强。绩效评价是一项对业务要求很高的工作，我单位</w:t>
      </w:r>
      <w:r>
        <w:rPr>
          <w:rFonts w:hint="eastAsia" w:ascii="仿宋_GB2312" w:hAnsi="仿宋_GB2312" w:eastAsia="仿宋_GB2312"/>
          <w:spacing w:val="-5"/>
          <w:sz w:val="32"/>
          <w:szCs w:val="32"/>
          <w:lang w:eastAsia="zh-CN"/>
        </w:rPr>
        <w:t>工作负责人员</w:t>
      </w:r>
      <w:r>
        <w:rPr>
          <w:rFonts w:hint="eastAsia" w:ascii="仿宋_GB2312" w:hAnsi="仿宋_GB2312" w:eastAsia="仿宋_GB2312"/>
          <w:spacing w:val="-5"/>
          <w:sz w:val="32"/>
          <w:szCs w:val="32"/>
        </w:rPr>
        <w:t>边干边总结，边做边摸索，边想边完善，</w:t>
      </w:r>
      <w:r>
        <w:rPr>
          <w:rFonts w:hint="eastAsia" w:ascii="仿宋_GB2312" w:hAnsi="仿宋_GB2312" w:eastAsia="仿宋_GB2312"/>
          <w:spacing w:val="-5"/>
          <w:sz w:val="32"/>
          <w:szCs w:val="32"/>
          <w:lang w:eastAsia="zh-CN"/>
        </w:rPr>
        <w:t>尚需不断</w:t>
      </w:r>
      <w:r>
        <w:rPr>
          <w:rFonts w:hint="eastAsia" w:ascii="仿宋_GB2312" w:hAnsi="仿宋_GB2312" w:eastAsia="仿宋_GB2312"/>
          <w:spacing w:val="-5"/>
          <w:sz w:val="32"/>
          <w:szCs w:val="32"/>
        </w:rPr>
        <w:t>提升，希望财政部门给予指导和帮助。</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因轮岗、调动等因素使我单位绩效工作人员流动频繁，造成了工作衔接不到位的情况。</w:t>
      </w:r>
    </w:p>
    <w:p>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有关建议</w:t>
      </w:r>
    </w:p>
    <w:p>
      <w:pPr>
        <w:numPr>
          <w:ilvl w:val="0"/>
          <w:numId w:val="0"/>
        </w:numPr>
        <w:spacing w:line="600" w:lineRule="exact"/>
        <w:ind w:firstLine="640" w:firstLineChars="200"/>
        <w:rPr>
          <w:rFonts w:hint="eastAsia" w:ascii="仿宋" w:hAnsi="仿宋" w:eastAsia="仿宋" w:cs="仿宋"/>
          <w:b w:val="0"/>
          <w:bCs w:val="0"/>
          <w:snapToGrid/>
          <w:kern w:val="2"/>
          <w:sz w:val="32"/>
          <w:szCs w:val="32"/>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一）</w:t>
      </w:r>
      <w:r>
        <w:rPr>
          <w:rFonts w:hint="eastAsia" w:ascii="仿宋" w:hAnsi="仿宋" w:eastAsia="仿宋" w:cs="仿宋"/>
          <w:b w:val="0"/>
          <w:bCs w:val="0"/>
          <w:snapToGrid/>
          <w:kern w:val="2"/>
          <w:sz w:val="32"/>
          <w:szCs w:val="32"/>
        </w:rPr>
        <w:t>预算安排和执行方面建议</w:t>
      </w:r>
    </w:p>
    <w:p>
      <w:pPr>
        <w:pStyle w:val="33"/>
        <w:numPr>
          <w:ilvl w:val="0"/>
          <w:numId w:val="0"/>
        </w:numPr>
        <w:spacing w:line="560" w:lineRule="exact"/>
        <w:ind w:firstLine="640" w:firstLineChars="200"/>
        <w:rPr>
          <w:rFonts w:hint="eastAsia" w:ascii="仿宋_GB2312" w:hAnsi="仿宋_GB2312" w:cs="仿宋_GB2312"/>
          <w:sz w:val="32"/>
          <w:szCs w:val="32"/>
        </w:rPr>
      </w:pPr>
      <w:r>
        <w:rPr>
          <w:rFonts w:hint="eastAsia" w:ascii="仿宋" w:hAnsi="仿宋" w:eastAsia="仿宋" w:cs="仿宋"/>
          <w:b w:val="0"/>
          <w:bCs/>
          <w:sz w:val="32"/>
          <w:szCs w:val="32"/>
        </w:rPr>
        <w:t>严格按照预算管理规定进行立项确认。我单位</w:t>
      </w:r>
      <w:r>
        <w:rPr>
          <w:rFonts w:hint="eastAsia" w:ascii="仿宋" w:hAnsi="仿宋" w:eastAsia="仿宋" w:cs="仿宋"/>
          <w:b w:val="0"/>
          <w:bCs/>
          <w:sz w:val="32"/>
          <w:szCs w:val="32"/>
          <w:lang w:val="en-US" w:eastAsia="zh-CN"/>
        </w:rPr>
        <w:t>办公室</w:t>
      </w:r>
      <w:r>
        <w:rPr>
          <w:rFonts w:hint="eastAsia" w:ascii="仿宋" w:hAnsi="仿宋" w:eastAsia="仿宋" w:cs="仿宋"/>
          <w:b w:val="0"/>
          <w:bCs/>
          <w:sz w:val="32"/>
          <w:szCs w:val="32"/>
        </w:rPr>
        <w:t>负责预算的编制、执行和上报等工作。在项目预算编制过程中, 严格坚持对项目先进行论证,结合论证情况编制预算, 在预算安排中重点刚性支出,最后由财政部门进行预算安排。</w:t>
      </w:r>
      <w:r>
        <w:rPr>
          <w:rFonts w:hint="eastAsia" w:ascii="仿宋_GB2312" w:hAnsi="仿宋_GB2312" w:cs="仿宋_GB2312"/>
          <w:sz w:val="32"/>
          <w:szCs w:val="32"/>
        </w:rPr>
        <w:t xml:space="preserve"> </w:t>
      </w:r>
    </w:p>
    <w:p>
      <w:pPr>
        <w:pStyle w:val="33"/>
        <w:numPr>
          <w:ilvl w:val="0"/>
          <w:numId w:val="0"/>
        </w:numPr>
        <w:spacing w:line="560" w:lineRule="exact"/>
        <w:ind w:firstLine="640" w:firstLineChars="200"/>
        <w:rPr>
          <w:rFonts w:hint="eastAsia" w:ascii="仿宋_GB2312" w:eastAsia="仿宋_GB2312"/>
          <w:b w:val="0"/>
          <w:snapToGrid/>
          <w:kern w:val="2"/>
          <w:sz w:val="32"/>
          <w:szCs w:val="32"/>
        </w:rPr>
      </w:pPr>
      <w:r>
        <w:rPr>
          <w:rFonts w:hint="eastAsia" w:ascii="仿宋_GB2312" w:eastAsia="仿宋_GB2312"/>
          <w:b w:val="0"/>
          <w:snapToGrid/>
          <w:kern w:val="2"/>
          <w:sz w:val="32"/>
          <w:szCs w:val="32"/>
          <w:lang w:eastAsia="zh-CN"/>
        </w:rPr>
        <w:t>（</w:t>
      </w:r>
      <w:r>
        <w:rPr>
          <w:rFonts w:hint="eastAsia" w:ascii="仿宋_GB2312" w:eastAsia="仿宋_GB2312"/>
          <w:b w:val="0"/>
          <w:snapToGrid/>
          <w:kern w:val="2"/>
          <w:sz w:val="32"/>
          <w:szCs w:val="32"/>
          <w:lang w:val="en-US" w:eastAsia="zh-CN"/>
        </w:rPr>
        <w:t>二）</w:t>
      </w:r>
      <w:r>
        <w:rPr>
          <w:rFonts w:hint="eastAsia" w:ascii="仿宋_GB2312" w:eastAsia="仿宋_GB2312"/>
          <w:b w:val="0"/>
          <w:snapToGrid/>
          <w:kern w:val="2"/>
          <w:sz w:val="32"/>
          <w:szCs w:val="32"/>
        </w:rPr>
        <w:t>制度建设方面建议</w:t>
      </w:r>
    </w:p>
    <w:p>
      <w:pPr>
        <w:pStyle w:val="31"/>
        <w:spacing w:line="560" w:lineRule="exact"/>
        <w:ind w:firstLine="643"/>
        <w:rPr>
          <w:rFonts w:hint="eastAsia" w:ascii="仿宋" w:hAnsi="仿宋" w:eastAsia="仿宋" w:cs="仿宋"/>
          <w:sz w:val="32"/>
          <w:szCs w:val="32"/>
        </w:rPr>
      </w:pPr>
      <w:r>
        <w:rPr>
          <w:rFonts w:hint="eastAsia" w:ascii="仿宋" w:hAnsi="仿宋" w:eastAsia="仿宋" w:cs="仿宋"/>
          <w:sz w:val="32"/>
          <w:szCs w:val="32"/>
        </w:rPr>
        <w:t>建议财政部门在继续对已有项目给予扶持的基础上，</w:t>
      </w:r>
      <w:r>
        <w:rPr>
          <w:rFonts w:hint="eastAsia" w:ascii="仿宋" w:hAnsi="仿宋" w:eastAsia="仿宋" w:cs="仿宋"/>
          <w:sz w:val="32"/>
          <w:szCs w:val="32"/>
          <w:lang w:val="en-US" w:eastAsia="zh-CN"/>
        </w:rPr>
        <w:t>能否</w:t>
      </w:r>
      <w:r>
        <w:rPr>
          <w:rFonts w:hint="eastAsia" w:ascii="仿宋" w:hAnsi="仿宋" w:eastAsia="仿宋" w:cs="仿宋"/>
          <w:sz w:val="32"/>
          <w:szCs w:val="32"/>
        </w:rPr>
        <w:t>提高</w:t>
      </w:r>
      <w:r>
        <w:rPr>
          <w:rFonts w:hint="eastAsia" w:ascii="仿宋" w:hAnsi="仿宋" w:eastAsia="仿宋" w:cs="仿宋"/>
          <w:sz w:val="32"/>
          <w:szCs w:val="32"/>
          <w:lang w:val="en-US" w:eastAsia="zh-CN"/>
        </w:rPr>
        <w:t>课时费</w:t>
      </w:r>
      <w:r>
        <w:rPr>
          <w:rFonts w:hint="eastAsia" w:ascii="仿宋" w:hAnsi="仿宋" w:eastAsia="仿宋" w:cs="仿宋"/>
          <w:sz w:val="32"/>
          <w:szCs w:val="32"/>
        </w:rPr>
        <w:t>标准，加大扶持</w:t>
      </w:r>
      <w:r>
        <w:rPr>
          <w:rFonts w:hint="eastAsia" w:ascii="仿宋" w:hAnsi="仿宋" w:eastAsia="仿宋" w:cs="仿宋"/>
          <w:sz w:val="32"/>
          <w:szCs w:val="32"/>
          <w:lang w:val="en-US" w:eastAsia="zh-CN"/>
        </w:rPr>
        <w:t>校外教育培训</w:t>
      </w:r>
      <w:r>
        <w:rPr>
          <w:rFonts w:hint="eastAsia" w:ascii="仿宋" w:hAnsi="仿宋" w:eastAsia="仿宋" w:cs="仿宋"/>
          <w:sz w:val="32"/>
          <w:szCs w:val="32"/>
        </w:rPr>
        <w:t>工作力度。</w:t>
      </w:r>
    </w:p>
    <w:p>
      <w:pPr>
        <w:pStyle w:val="31"/>
        <w:spacing w:line="560" w:lineRule="exact"/>
        <w:ind w:firstLine="643"/>
        <w:rPr>
          <w:rFonts w:hint="eastAsia" w:ascii="仿宋_GB2312" w:eastAsia="仿宋_GB2312"/>
          <w:kern w:val="2"/>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_GB2312" w:eastAsia="仿宋_GB2312"/>
          <w:kern w:val="2"/>
          <w:sz w:val="32"/>
          <w:szCs w:val="32"/>
        </w:rPr>
        <w:t>项目管理方面建议</w:t>
      </w:r>
    </w:p>
    <w:p>
      <w:pPr>
        <w:pStyle w:val="31"/>
        <w:spacing w:line="560" w:lineRule="exact"/>
        <w:ind w:firstLine="640"/>
        <w:rPr>
          <w:rFonts w:hint="eastAsia" w:ascii="仿宋_GB2312" w:eastAsia="仿宋_GB2312"/>
          <w:kern w:val="2"/>
          <w:sz w:val="32"/>
          <w:szCs w:val="32"/>
        </w:rPr>
      </w:pPr>
      <w:r>
        <w:rPr>
          <w:rFonts w:hint="eastAsia" w:ascii="仿宋_GB2312" w:eastAsia="仿宋_GB2312"/>
          <w:kern w:val="2"/>
          <w:sz w:val="32"/>
          <w:szCs w:val="32"/>
        </w:rPr>
        <w:t>建议及时调整和优化本单位后续项目和以后年度预算支出的方向和结构，合理配置资源，加强财务管理，完善项目管理办法，切实提高项目管理水平、资金使用效率和部门工作效率。要认真落实整改意见，不断提高预算管理水平。</w:t>
      </w:r>
    </w:p>
    <w:p>
      <w:pPr>
        <w:pStyle w:val="33"/>
        <w:spacing w:line="560" w:lineRule="exact"/>
        <w:ind w:left="420"/>
        <w:rPr>
          <w:rFonts w:hint="eastAsia" w:ascii="仿宋_GB2312" w:eastAsia="仿宋_GB2312"/>
          <w:b w:val="0"/>
          <w:snapToGrid/>
          <w:kern w:val="2"/>
          <w:sz w:val="32"/>
          <w:szCs w:val="32"/>
        </w:rPr>
      </w:pPr>
      <w:r>
        <w:rPr>
          <w:rFonts w:hint="eastAsia" w:ascii="仿宋_GB2312" w:eastAsia="仿宋_GB2312"/>
          <w:b w:val="0"/>
          <w:snapToGrid/>
          <w:kern w:val="2"/>
          <w:sz w:val="32"/>
          <w:szCs w:val="32"/>
          <w:lang w:eastAsia="zh-CN"/>
        </w:rPr>
        <w:t>（</w:t>
      </w:r>
      <w:r>
        <w:rPr>
          <w:rFonts w:hint="eastAsia" w:ascii="仿宋_GB2312" w:eastAsia="仿宋_GB2312"/>
          <w:b w:val="0"/>
          <w:snapToGrid/>
          <w:kern w:val="2"/>
          <w:sz w:val="32"/>
          <w:szCs w:val="32"/>
          <w:lang w:val="en-US" w:eastAsia="zh-CN"/>
        </w:rPr>
        <w:t>四）</w:t>
      </w:r>
      <w:r>
        <w:rPr>
          <w:rFonts w:hint="eastAsia" w:ascii="仿宋_GB2312" w:eastAsia="仿宋_GB2312"/>
          <w:b w:val="0"/>
          <w:snapToGrid/>
          <w:kern w:val="2"/>
          <w:sz w:val="32"/>
          <w:szCs w:val="32"/>
        </w:rPr>
        <w:t>资金管理方面建议</w:t>
      </w:r>
    </w:p>
    <w:p>
      <w:pPr>
        <w:pStyle w:val="31"/>
        <w:spacing w:line="560" w:lineRule="exact"/>
        <w:ind w:firstLine="640"/>
        <w:rPr>
          <w:rFonts w:hint="eastAsia" w:ascii="仿宋_GB2312" w:eastAsia="仿宋_GB2312"/>
          <w:kern w:val="2"/>
          <w:sz w:val="32"/>
          <w:szCs w:val="32"/>
        </w:rPr>
      </w:pPr>
      <w:r>
        <w:rPr>
          <w:rFonts w:hint="eastAsia" w:ascii="仿宋_GB2312" w:eastAsia="仿宋_GB2312"/>
          <w:kern w:val="2"/>
          <w:sz w:val="32"/>
          <w:szCs w:val="32"/>
        </w:rPr>
        <w:t>严格执行财政部门下发的经费管理要求进行开支和管理，按照年初部门详细填列预算开支项目，严格遵守节约制度，落实地方财政预算管理、采购管理、财务管理等相关管理制度。</w:t>
      </w:r>
    </w:p>
    <w:p>
      <w:pPr>
        <w:pStyle w:val="33"/>
        <w:spacing w:line="560" w:lineRule="exact"/>
        <w:ind w:left="420"/>
        <w:rPr>
          <w:rFonts w:hint="eastAsia" w:ascii="仿宋_GB2312" w:eastAsia="仿宋_GB2312"/>
          <w:b w:val="0"/>
          <w:snapToGrid/>
          <w:kern w:val="2"/>
          <w:sz w:val="32"/>
          <w:szCs w:val="32"/>
        </w:rPr>
      </w:pPr>
      <w:r>
        <w:rPr>
          <w:rFonts w:hint="eastAsia" w:ascii="仿宋_GB2312" w:eastAsia="仿宋_GB2312"/>
          <w:b w:val="0"/>
          <w:snapToGrid/>
          <w:kern w:val="2"/>
          <w:sz w:val="32"/>
          <w:szCs w:val="32"/>
          <w:lang w:eastAsia="zh-CN"/>
        </w:rPr>
        <w:t>（</w:t>
      </w:r>
      <w:r>
        <w:rPr>
          <w:rFonts w:hint="eastAsia" w:ascii="仿宋_GB2312" w:eastAsia="仿宋_GB2312"/>
          <w:b w:val="0"/>
          <w:snapToGrid/>
          <w:kern w:val="2"/>
          <w:sz w:val="32"/>
          <w:szCs w:val="32"/>
          <w:lang w:val="en-US" w:eastAsia="zh-CN"/>
        </w:rPr>
        <w:t>五）</w:t>
      </w:r>
      <w:r>
        <w:rPr>
          <w:rFonts w:hint="eastAsia" w:ascii="仿宋_GB2312" w:eastAsia="仿宋_GB2312"/>
          <w:b w:val="0"/>
          <w:snapToGrid/>
          <w:kern w:val="2"/>
          <w:sz w:val="32"/>
          <w:szCs w:val="32"/>
        </w:rPr>
        <w:t>其他方面建议</w:t>
      </w:r>
    </w:p>
    <w:p>
      <w:pPr>
        <w:pStyle w:val="31"/>
        <w:spacing w:line="560" w:lineRule="exact"/>
        <w:ind w:firstLine="640"/>
        <w:rPr>
          <w:rFonts w:hint="eastAsia" w:ascii="仿宋_GB2312" w:eastAsia="仿宋_GB2312"/>
          <w:kern w:val="2"/>
          <w:sz w:val="32"/>
          <w:szCs w:val="32"/>
        </w:rPr>
      </w:pPr>
      <w:r>
        <w:rPr>
          <w:rFonts w:hint="eastAsia" w:ascii="仿宋_GB2312" w:eastAsia="仿宋_GB2312"/>
          <w:kern w:val="2"/>
          <w:sz w:val="32"/>
          <w:szCs w:val="32"/>
        </w:rPr>
        <w:t>加强绩效评价力度。加强对项目的绩效评价，保障财政资金更合理的应用到实处，希望市财政局加强绩效评价培训及指导。</w:t>
      </w:r>
    </w:p>
    <w:p>
      <w:pPr>
        <w:spacing w:line="560" w:lineRule="exact"/>
        <w:ind w:firstLine="640" w:firstLineChars="200"/>
        <w:rPr>
          <w:rFonts w:eastAsia="黑体"/>
          <w:sz w:val="32"/>
          <w:szCs w:val="32"/>
        </w:rPr>
      </w:pPr>
      <w:r>
        <w:rPr>
          <w:rFonts w:hint="eastAsia" w:eastAsia="黑体"/>
          <w:sz w:val="32"/>
          <w:szCs w:val="32"/>
        </w:rPr>
        <w:t>八、</w:t>
      </w:r>
      <w:r>
        <w:rPr>
          <w:rFonts w:eastAsia="黑体"/>
          <w:sz w:val="32"/>
          <w:szCs w:val="32"/>
        </w:rPr>
        <w:t>其他需要说</w:t>
      </w:r>
      <w:bookmarkStart w:id="2" w:name="page8"/>
      <w:bookmarkEnd w:id="2"/>
      <w:r>
        <w:rPr>
          <w:rFonts w:eastAsia="黑体"/>
          <w:sz w:val="32"/>
          <w:szCs w:val="32"/>
        </w:rPr>
        <w:t>明的问题</w:t>
      </w:r>
    </w:p>
    <w:p>
      <w:pPr>
        <w:pStyle w:val="11"/>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本项目无其他需说明的问题。</w:t>
      </w: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pPr>
    </w:p>
    <w:p>
      <w:pPr>
        <w:spacing w:line="600" w:lineRule="exact"/>
        <w:rPr>
          <w:rFonts w:hint="eastAsia" w:eastAsia="黑体"/>
          <w:sz w:val="32"/>
          <w:szCs w:val="32"/>
        </w:rPr>
        <w:sectPr>
          <w:footerReference r:id="rId4" w:type="default"/>
          <w:pgSz w:w="11906" w:h="16838"/>
          <w:pgMar w:top="1440" w:right="1800" w:bottom="1440" w:left="1800" w:header="851" w:footer="992" w:gutter="0"/>
          <w:cols w:space="425" w:num="1"/>
          <w:docGrid w:type="lines" w:linePitch="312" w:charSpace="0"/>
        </w:sectPr>
      </w:pPr>
    </w:p>
    <w:p>
      <w:pPr>
        <w:spacing w:line="600" w:lineRule="exact"/>
        <w:rPr>
          <w:rFonts w:eastAsia="黑体"/>
          <w:sz w:val="32"/>
          <w:szCs w:val="32"/>
        </w:rPr>
      </w:pPr>
      <w:r>
        <w:rPr>
          <w:rFonts w:hint="eastAsia" w:eastAsia="黑体"/>
          <w:sz w:val="32"/>
          <w:szCs w:val="32"/>
        </w:rPr>
        <w:t>附件</w:t>
      </w:r>
      <w:r>
        <w:rPr>
          <w:rFonts w:eastAsia="黑体"/>
          <w:sz w:val="32"/>
          <w:szCs w:val="32"/>
        </w:rPr>
        <w:t>1</w:t>
      </w:r>
    </w:p>
    <w:p>
      <w:pPr>
        <w:spacing w:line="240" w:lineRule="atLeast"/>
        <w:jc w:val="center"/>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项目支出绩效自评表</w:t>
      </w:r>
    </w:p>
    <w:p>
      <w:pPr>
        <w:spacing w:line="240" w:lineRule="atLeast"/>
        <w:jc w:val="center"/>
        <w:rPr>
          <w:rFonts w:eastAsia="仿宋_GB2312"/>
          <w:b/>
          <w:bCs/>
          <w:color w:val="000000"/>
          <w:kern w:val="0"/>
          <w:sz w:val="22"/>
          <w:szCs w:val="22"/>
        </w:rPr>
      </w:pPr>
      <w:r>
        <w:rPr>
          <w:rFonts w:hint="eastAsia" w:eastAsia="仿宋_GB2312"/>
          <w:b/>
          <w:bCs/>
          <w:color w:val="000000"/>
          <w:kern w:val="0"/>
          <w:sz w:val="22"/>
          <w:szCs w:val="22"/>
        </w:rPr>
        <w:t>（</w:t>
      </w:r>
      <w:r>
        <w:rPr>
          <w:rFonts w:eastAsia="仿宋_GB2312"/>
          <w:b/>
          <w:bCs/>
          <w:color w:val="000000"/>
          <w:kern w:val="0"/>
          <w:sz w:val="22"/>
          <w:szCs w:val="22"/>
        </w:rPr>
        <w:t xml:space="preserve"> 2024</w:t>
      </w:r>
      <w:r>
        <w:rPr>
          <w:rFonts w:hint="eastAsia" w:eastAsia="仿宋_GB2312"/>
          <w:b/>
          <w:bCs/>
          <w:color w:val="000000"/>
          <w:kern w:val="0"/>
          <w:sz w:val="22"/>
          <w:szCs w:val="22"/>
        </w:rPr>
        <w:t>年度）</w:t>
      </w:r>
    </w:p>
    <w:tbl>
      <w:tblPr>
        <w:tblStyle w:val="12"/>
        <w:tblW w:w="5000" w:type="pct"/>
        <w:tblInd w:w="0" w:type="dxa"/>
        <w:tblLayout w:type="fixed"/>
        <w:tblCellMar>
          <w:top w:w="0" w:type="dxa"/>
          <w:left w:w="108" w:type="dxa"/>
          <w:bottom w:w="0" w:type="dxa"/>
          <w:right w:w="108" w:type="dxa"/>
        </w:tblCellMar>
      </w:tblPr>
      <w:tblGrid>
        <w:gridCol w:w="918"/>
        <w:gridCol w:w="880"/>
        <w:gridCol w:w="848"/>
        <w:gridCol w:w="1123"/>
        <w:gridCol w:w="948"/>
        <w:gridCol w:w="236"/>
        <w:gridCol w:w="837"/>
        <w:gridCol w:w="474"/>
        <w:gridCol w:w="592"/>
        <w:gridCol w:w="925"/>
        <w:gridCol w:w="1203"/>
        <w:gridCol w:w="516"/>
        <w:gridCol w:w="457"/>
        <w:gridCol w:w="898"/>
        <w:gridCol w:w="452"/>
        <w:gridCol w:w="471"/>
        <w:gridCol w:w="748"/>
        <w:gridCol w:w="358"/>
        <w:gridCol w:w="1291"/>
      </w:tblGrid>
      <w:tr>
        <w:tblPrEx>
          <w:tblCellMar>
            <w:top w:w="0" w:type="dxa"/>
            <w:left w:w="108" w:type="dxa"/>
            <w:bottom w:w="0" w:type="dxa"/>
            <w:right w:w="108" w:type="dxa"/>
          </w:tblCellMar>
        </w:tblPrEx>
        <w:trPr>
          <w:trHeight w:val="288" w:hRule="atLeast"/>
        </w:trPr>
        <w:tc>
          <w:tcPr>
            <w:tcW w:w="634"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项目名称</w:t>
            </w:r>
          </w:p>
        </w:tc>
        <w:tc>
          <w:tcPr>
            <w:tcW w:w="4365" w:type="pct"/>
            <w:gridSpan w:val="17"/>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sz w:val="18"/>
                <w:szCs w:val="18"/>
                <w:lang w:eastAsia="zh-CN"/>
              </w:rPr>
              <w:t>教学工作经费</w:t>
            </w:r>
          </w:p>
        </w:tc>
      </w:tr>
      <w:tr>
        <w:tblPrEx>
          <w:tblCellMar>
            <w:top w:w="0" w:type="dxa"/>
            <w:left w:w="108" w:type="dxa"/>
            <w:bottom w:w="0" w:type="dxa"/>
            <w:right w:w="108" w:type="dxa"/>
          </w:tblCellMar>
        </w:tblPrEx>
        <w:trPr>
          <w:trHeight w:val="288" w:hRule="atLeast"/>
        </w:trPr>
        <w:tc>
          <w:tcPr>
            <w:tcW w:w="634"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主管部门</w:t>
            </w:r>
          </w:p>
        </w:tc>
        <w:tc>
          <w:tcPr>
            <w:tcW w:w="2110" w:type="pct"/>
            <w:gridSpan w:val="8"/>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克拉玛依市青年宫</w:t>
            </w:r>
          </w:p>
        </w:tc>
        <w:tc>
          <w:tcPr>
            <w:tcW w:w="606"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实施单位</w:t>
            </w:r>
          </w:p>
        </w:tc>
        <w:tc>
          <w:tcPr>
            <w:tcW w:w="1649" w:type="pct"/>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克拉玛依市青年宫</w:t>
            </w:r>
          </w:p>
        </w:tc>
      </w:tr>
      <w:tr>
        <w:tblPrEx>
          <w:tblCellMar>
            <w:top w:w="0" w:type="dxa"/>
            <w:left w:w="108" w:type="dxa"/>
            <w:bottom w:w="0" w:type="dxa"/>
            <w:right w:w="108" w:type="dxa"/>
          </w:tblCellMar>
        </w:tblPrEx>
        <w:trPr>
          <w:trHeight w:val="288" w:hRule="atLeast"/>
        </w:trPr>
        <w:tc>
          <w:tcPr>
            <w:tcW w:w="634"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项目资金</w:t>
            </w:r>
            <w:r>
              <w:rPr>
                <w:rFonts w:ascii="仿宋_GB2312" w:hAnsi="仿宋_GB2312" w:eastAsia="仿宋_GB2312" w:cs="仿宋_GB2312"/>
                <w:color w:val="000000"/>
                <w:kern w:val="0"/>
                <w:sz w:val="18"/>
                <w:szCs w:val="18"/>
              </w:rPr>
              <w:br w:type="textWrapping"/>
            </w:r>
            <w:r>
              <w:rPr>
                <w:rFonts w:hint="eastAsia" w:ascii="仿宋_GB2312" w:hAnsi="仿宋_GB2312" w:eastAsia="仿宋_GB2312" w:cs="仿宋_GB2312"/>
                <w:color w:val="000000"/>
                <w:kern w:val="0"/>
                <w:sz w:val="18"/>
                <w:szCs w:val="18"/>
              </w:rPr>
              <w:t>（万元）</w:t>
            </w:r>
          </w:p>
        </w:tc>
        <w:tc>
          <w:tcPr>
            <w:tcW w:w="1029"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资金来源</w:t>
            </w:r>
          </w:p>
        </w:tc>
        <w:tc>
          <w:tcPr>
            <w:tcW w:w="545"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年初预算数</w:t>
            </w:r>
          </w:p>
        </w:tc>
        <w:tc>
          <w:tcPr>
            <w:tcW w:w="535"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全年预算数</w:t>
            </w:r>
          </w:p>
        </w:tc>
        <w:tc>
          <w:tcPr>
            <w:tcW w:w="606"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全年执行数</w:t>
            </w:r>
          </w:p>
        </w:tc>
        <w:tc>
          <w:tcPr>
            <w:tcW w:w="637"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分值权重</w:t>
            </w:r>
          </w:p>
        </w:tc>
        <w:tc>
          <w:tcPr>
            <w:tcW w:w="556"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执行率</w:t>
            </w:r>
          </w:p>
        </w:tc>
        <w:tc>
          <w:tcPr>
            <w:tcW w:w="45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得分</w:t>
            </w:r>
          </w:p>
        </w:tc>
      </w:tr>
      <w:tr>
        <w:tblPrEx>
          <w:tblCellMar>
            <w:top w:w="0" w:type="dxa"/>
            <w:left w:w="108" w:type="dxa"/>
            <w:bottom w:w="0" w:type="dxa"/>
            <w:right w:w="108" w:type="dxa"/>
          </w:tblCellMar>
        </w:tblPrEx>
        <w:trPr>
          <w:trHeight w:val="288" w:hRule="atLeast"/>
        </w:trPr>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1029"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年度资金总额</w:t>
            </w:r>
          </w:p>
        </w:tc>
        <w:tc>
          <w:tcPr>
            <w:tcW w:w="545"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sz w:val="18"/>
                <w:szCs w:val="18"/>
                <w:lang w:val="en-US" w:eastAsia="zh-CN"/>
              </w:rPr>
              <w:t>50</w:t>
            </w:r>
          </w:p>
        </w:tc>
        <w:tc>
          <w:tcPr>
            <w:tcW w:w="535"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_GB2312" w:hAnsi="仿宋_GB2312" w:eastAsia="仿宋_GB2312" w:cs="仿宋_GB2312"/>
                <w:color w:val="000000"/>
                <w:sz w:val="18"/>
                <w:szCs w:val="18"/>
                <w:lang w:val="en-US"/>
              </w:rPr>
            </w:pPr>
            <w:r>
              <w:rPr>
                <w:rFonts w:hint="eastAsia"/>
                <w:sz w:val="18"/>
                <w:szCs w:val="18"/>
                <w:lang w:val="en-US" w:eastAsia="zh-CN"/>
              </w:rPr>
              <w:t>50</w:t>
            </w:r>
          </w:p>
        </w:tc>
        <w:tc>
          <w:tcPr>
            <w:tcW w:w="606"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_GB2312" w:hAnsi="仿宋_GB2312" w:eastAsia="仿宋_GB2312" w:cs="仿宋_GB2312"/>
                <w:color w:val="000000"/>
                <w:sz w:val="18"/>
                <w:szCs w:val="18"/>
                <w:lang w:val="en-US"/>
              </w:rPr>
            </w:pPr>
            <w:r>
              <w:rPr>
                <w:rFonts w:hint="eastAsia"/>
                <w:sz w:val="18"/>
                <w:szCs w:val="18"/>
                <w:lang w:val="en-US" w:eastAsia="zh-CN"/>
              </w:rPr>
              <w:t>50</w:t>
            </w:r>
          </w:p>
        </w:tc>
        <w:tc>
          <w:tcPr>
            <w:tcW w:w="637"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w:t>
            </w:r>
          </w:p>
        </w:tc>
        <w:tc>
          <w:tcPr>
            <w:tcW w:w="556"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100%</w:t>
            </w:r>
          </w:p>
        </w:tc>
        <w:tc>
          <w:tcPr>
            <w:tcW w:w="45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w:t>
            </w:r>
          </w:p>
        </w:tc>
      </w:tr>
      <w:tr>
        <w:tblPrEx>
          <w:tblCellMar>
            <w:top w:w="0" w:type="dxa"/>
            <w:left w:w="108" w:type="dxa"/>
            <w:bottom w:w="0" w:type="dxa"/>
            <w:right w:w="108" w:type="dxa"/>
          </w:tblCellMar>
        </w:tblPrEx>
        <w:trPr>
          <w:trHeight w:val="288" w:hRule="atLeast"/>
        </w:trPr>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1029"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其中：当年财政拨款</w:t>
            </w:r>
          </w:p>
        </w:tc>
        <w:tc>
          <w:tcPr>
            <w:tcW w:w="545"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_GB2312" w:hAnsi="仿宋_GB2312" w:eastAsia="仿宋_GB2312" w:cs="仿宋_GB2312"/>
                <w:color w:val="000000"/>
                <w:sz w:val="18"/>
                <w:szCs w:val="18"/>
                <w:lang w:val="en-US"/>
              </w:rPr>
            </w:pPr>
            <w:r>
              <w:rPr>
                <w:rFonts w:hint="eastAsia"/>
                <w:sz w:val="18"/>
                <w:szCs w:val="18"/>
                <w:lang w:val="en-US" w:eastAsia="zh-CN"/>
              </w:rPr>
              <w:t>50</w:t>
            </w:r>
          </w:p>
        </w:tc>
        <w:tc>
          <w:tcPr>
            <w:tcW w:w="535"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_GB2312" w:hAnsi="仿宋_GB2312" w:eastAsia="仿宋_GB2312" w:cs="仿宋_GB2312"/>
                <w:color w:val="000000"/>
                <w:sz w:val="18"/>
                <w:szCs w:val="18"/>
                <w:lang w:val="en-US"/>
              </w:rPr>
            </w:pPr>
            <w:r>
              <w:rPr>
                <w:rFonts w:hint="eastAsia"/>
                <w:sz w:val="18"/>
                <w:szCs w:val="18"/>
                <w:lang w:val="en-US" w:eastAsia="zh-CN"/>
              </w:rPr>
              <w:t>50</w:t>
            </w:r>
          </w:p>
        </w:tc>
        <w:tc>
          <w:tcPr>
            <w:tcW w:w="606"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_GB2312" w:hAnsi="仿宋_GB2312" w:eastAsia="仿宋_GB2312" w:cs="仿宋_GB2312"/>
                <w:color w:val="000000"/>
                <w:sz w:val="18"/>
                <w:szCs w:val="18"/>
                <w:lang w:val="en-US"/>
              </w:rPr>
            </w:pPr>
            <w:r>
              <w:rPr>
                <w:rFonts w:hint="eastAsia"/>
                <w:sz w:val="18"/>
                <w:szCs w:val="18"/>
                <w:lang w:val="en-US" w:eastAsia="zh-CN"/>
              </w:rPr>
              <w:t>50</w:t>
            </w:r>
          </w:p>
        </w:tc>
        <w:tc>
          <w:tcPr>
            <w:tcW w:w="637"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w:t>
            </w:r>
          </w:p>
        </w:tc>
        <w:tc>
          <w:tcPr>
            <w:tcW w:w="556"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100%</w:t>
            </w:r>
          </w:p>
        </w:tc>
        <w:tc>
          <w:tcPr>
            <w:tcW w:w="45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1029" w:type="pct"/>
            <w:gridSpan w:val="3"/>
            <w:tcBorders>
              <w:top w:val="single" w:color="auto" w:sz="4" w:space="0"/>
              <w:left w:val="single" w:color="auto" w:sz="4" w:space="0"/>
              <w:bottom w:val="nil"/>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其他资金</w:t>
            </w:r>
          </w:p>
        </w:tc>
        <w:tc>
          <w:tcPr>
            <w:tcW w:w="545" w:type="pct"/>
            <w:gridSpan w:val="3"/>
            <w:tcBorders>
              <w:top w:val="single" w:color="auto" w:sz="4" w:space="0"/>
              <w:left w:val="single" w:color="auto" w:sz="4" w:space="0"/>
              <w:bottom w:val="nil"/>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0</w:t>
            </w:r>
          </w:p>
        </w:tc>
        <w:tc>
          <w:tcPr>
            <w:tcW w:w="535" w:type="pct"/>
            <w:gridSpan w:val="2"/>
            <w:tcBorders>
              <w:top w:val="single" w:color="auto" w:sz="4" w:space="0"/>
              <w:left w:val="single" w:color="auto" w:sz="4" w:space="0"/>
              <w:bottom w:val="nil"/>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0</w:t>
            </w:r>
          </w:p>
        </w:tc>
        <w:tc>
          <w:tcPr>
            <w:tcW w:w="606" w:type="pct"/>
            <w:gridSpan w:val="2"/>
            <w:tcBorders>
              <w:top w:val="single" w:color="auto" w:sz="4" w:space="0"/>
              <w:left w:val="single" w:color="auto" w:sz="4" w:space="0"/>
              <w:bottom w:val="nil"/>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0</w:t>
            </w:r>
          </w:p>
        </w:tc>
        <w:tc>
          <w:tcPr>
            <w:tcW w:w="637"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556" w:type="pct"/>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45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年度总体目标</w:t>
            </w:r>
          </w:p>
        </w:tc>
        <w:tc>
          <w:tcPr>
            <w:tcW w:w="2420" w:type="pct"/>
            <w:gridSpan w:val="9"/>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总体目标</w:t>
            </w:r>
          </w:p>
        </w:tc>
        <w:tc>
          <w:tcPr>
            <w:tcW w:w="2255" w:type="pct"/>
            <w:gridSpan w:val="9"/>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总体目标完成情况</w:t>
            </w:r>
          </w:p>
        </w:tc>
      </w:tr>
      <w:tr>
        <w:tblPrEx>
          <w:tblCellMar>
            <w:top w:w="0" w:type="dxa"/>
            <w:left w:w="108" w:type="dxa"/>
            <w:bottom w:w="0" w:type="dxa"/>
            <w:right w:w="108" w:type="dxa"/>
          </w:tblCellMar>
        </w:tblPrEx>
        <w:trPr>
          <w:trHeight w:val="590" w:hRule="atLeas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2420" w:type="pct"/>
            <w:gridSpan w:val="9"/>
            <w:tcBorders>
              <w:top w:val="single" w:color="auto" w:sz="4" w:space="0"/>
              <w:left w:val="single" w:color="auto" w:sz="4" w:space="0"/>
              <w:bottom w:val="single" w:color="auto" w:sz="4" w:space="0"/>
              <w:right w:val="single" w:color="auto" w:sz="4" w:space="0"/>
            </w:tcBorders>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通过保障教师课时费发放，公益活动的开展和青年、青少年服务活动等工作，推动我市青少年校外艺术教育事业。</w:t>
            </w:r>
          </w:p>
        </w:tc>
        <w:tc>
          <w:tcPr>
            <w:tcW w:w="2255" w:type="pct"/>
            <w:gridSpan w:val="9"/>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截止</w:t>
            </w:r>
            <w:r>
              <w:rPr>
                <w:rFonts w:ascii="仿宋_GB2312" w:hAnsi="仿宋_GB2312" w:eastAsia="仿宋_GB2312" w:cs="仿宋_GB2312"/>
                <w:color w:val="000000"/>
                <w:sz w:val="18"/>
                <w:szCs w:val="18"/>
              </w:rPr>
              <w:t>2024</w:t>
            </w:r>
            <w:r>
              <w:rPr>
                <w:rFonts w:hint="eastAsia" w:ascii="仿宋_GB2312" w:hAnsi="仿宋_GB2312" w:eastAsia="仿宋_GB2312" w:cs="仿宋_GB2312"/>
                <w:color w:val="000000"/>
                <w:sz w:val="18"/>
                <w:szCs w:val="18"/>
              </w:rPr>
              <w:t>年</w:t>
            </w:r>
            <w:r>
              <w:rPr>
                <w:rFonts w:ascii="仿宋_GB2312" w:hAnsi="仿宋_GB2312" w:eastAsia="仿宋_GB2312" w:cs="仿宋_GB2312"/>
                <w:color w:val="000000"/>
                <w:sz w:val="18"/>
                <w:szCs w:val="18"/>
              </w:rPr>
              <w:t>12</w:t>
            </w:r>
            <w:r>
              <w:rPr>
                <w:rFonts w:hint="eastAsia" w:ascii="仿宋_GB2312" w:hAnsi="仿宋_GB2312" w:eastAsia="仿宋_GB2312" w:cs="仿宋_GB2312"/>
                <w:color w:val="000000"/>
                <w:sz w:val="18"/>
                <w:szCs w:val="18"/>
              </w:rPr>
              <w:t>月</w:t>
            </w:r>
            <w:r>
              <w:rPr>
                <w:rFonts w:ascii="仿宋_GB2312" w:hAnsi="仿宋_GB2312" w:eastAsia="仿宋_GB2312" w:cs="仿宋_GB2312"/>
                <w:color w:val="000000"/>
                <w:sz w:val="18"/>
                <w:szCs w:val="18"/>
              </w:rPr>
              <w:t>31</w:t>
            </w:r>
            <w:r>
              <w:rPr>
                <w:rFonts w:hint="eastAsia" w:ascii="仿宋_GB2312" w:hAnsi="仿宋_GB2312" w:eastAsia="仿宋_GB2312" w:cs="仿宋_GB2312"/>
                <w:color w:val="000000"/>
                <w:sz w:val="18"/>
                <w:szCs w:val="18"/>
              </w:rPr>
              <w:t>日，已完成</w:t>
            </w:r>
            <w:r>
              <w:rPr>
                <w:rFonts w:ascii="仿宋_GB2312" w:hAnsi="仿宋_GB2312" w:eastAsia="仿宋_GB2312" w:cs="仿宋_GB2312"/>
                <w:color w:val="000000"/>
                <w:sz w:val="18"/>
                <w:szCs w:val="18"/>
              </w:rPr>
              <w:t>2024</w:t>
            </w:r>
            <w:r>
              <w:rPr>
                <w:rFonts w:hint="eastAsia" w:ascii="仿宋_GB2312" w:hAnsi="仿宋_GB2312" w:eastAsia="仿宋_GB2312" w:cs="仿宋_GB2312"/>
                <w:color w:val="000000"/>
                <w:sz w:val="18"/>
                <w:szCs w:val="18"/>
              </w:rPr>
              <w:t>年</w:t>
            </w:r>
            <w:r>
              <w:rPr>
                <w:rFonts w:hint="eastAsia" w:ascii="仿宋_GB2312" w:hAnsi="仿宋_GB2312" w:eastAsia="仿宋_GB2312" w:cs="仿宋_GB2312"/>
                <w:color w:val="000000"/>
                <w:sz w:val="18"/>
                <w:szCs w:val="18"/>
                <w:lang w:val="en-US" w:eastAsia="zh-CN"/>
              </w:rPr>
              <w:t>度教学工作经费</w:t>
            </w:r>
            <w:r>
              <w:rPr>
                <w:rFonts w:hint="eastAsia" w:ascii="仿宋_GB2312" w:hAnsi="仿宋_GB2312" w:eastAsia="仿宋_GB2312" w:cs="仿宋_GB2312"/>
                <w:color w:val="000000"/>
                <w:sz w:val="18"/>
                <w:szCs w:val="18"/>
              </w:rPr>
              <w:t>项目，通过</w:t>
            </w:r>
            <w:r>
              <w:rPr>
                <w:rFonts w:hint="eastAsia" w:ascii="仿宋_GB2312" w:hAnsi="仿宋_GB2312" w:eastAsia="仿宋_GB2312" w:cs="仿宋_GB2312"/>
                <w:color w:val="000000"/>
                <w:sz w:val="18"/>
                <w:szCs w:val="18"/>
                <w:lang w:val="en-US" w:eastAsia="zh-CN"/>
              </w:rPr>
              <w:t>各项教学培训、公益性活动的开展</w:t>
            </w:r>
            <w:r>
              <w:rPr>
                <w:rFonts w:hint="eastAsia" w:ascii="仿宋_GB2312" w:hAnsi="仿宋_GB2312" w:eastAsia="仿宋_GB2312" w:cs="仿宋_GB2312"/>
                <w:color w:val="000000"/>
                <w:sz w:val="18"/>
                <w:szCs w:val="18"/>
              </w:rPr>
              <w:t>，</w:t>
            </w:r>
            <w:r>
              <w:rPr>
                <w:rFonts w:hint="eastAsia" w:ascii="仿宋_GB2312" w:hAnsi="仿宋_GB2312" w:eastAsia="仿宋_GB2312" w:cs="仿宋_GB2312"/>
                <w:color w:val="000000"/>
                <w:sz w:val="18"/>
                <w:szCs w:val="18"/>
                <w:lang w:val="en-US" w:eastAsia="zh-CN"/>
              </w:rPr>
              <w:t>组织了青年交友和青年夜校等活动，</w:t>
            </w:r>
            <w:r>
              <w:rPr>
                <w:rFonts w:hint="eastAsia" w:ascii="仿宋_GB2312" w:hAnsi="仿宋_GB2312" w:eastAsia="仿宋_GB2312" w:cs="仿宋_GB2312"/>
                <w:color w:val="000000"/>
                <w:sz w:val="18"/>
                <w:szCs w:val="18"/>
              </w:rPr>
              <w:t>切实</w:t>
            </w:r>
            <w:r>
              <w:rPr>
                <w:rFonts w:hint="eastAsia" w:ascii="仿宋_GB2312" w:hAnsi="仿宋_GB2312" w:eastAsia="仿宋_GB2312" w:cs="仿宋_GB2312"/>
                <w:color w:val="000000"/>
                <w:sz w:val="18"/>
                <w:szCs w:val="18"/>
                <w:lang w:val="en-US" w:eastAsia="zh-CN"/>
              </w:rPr>
              <w:t>推动</w:t>
            </w:r>
            <w:r>
              <w:rPr>
                <w:rFonts w:hint="eastAsia" w:ascii="仿宋_GB2312" w:hAnsi="仿宋_GB2312" w:eastAsia="仿宋_GB2312" w:cs="仿宋_GB2312"/>
                <w:color w:val="000000"/>
                <w:sz w:val="18"/>
                <w:szCs w:val="18"/>
              </w:rPr>
              <w:t>了</w:t>
            </w:r>
            <w:r>
              <w:rPr>
                <w:rFonts w:hint="eastAsia" w:ascii="仿宋_GB2312" w:hAnsi="仿宋_GB2312" w:eastAsia="仿宋_GB2312" w:cs="仿宋_GB2312"/>
                <w:color w:val="000000"/>
                <w:sz w:val="18"/>
                <w:szCs w:val="18"/>
                <w:lang w:val="en-US" w:eastAsia="zh-CN"/>
              </w:rPr>
              <w:t>我市校外教育事业的发展和服务青年的水平</w:t>
            </w:r>
            <w:r>
              <w:rPr>
                <w:rFonts w:hint="eastAsia" w:ascii="仿宋_GB2312" w:hAnsi="仿宋_GB2312" w:eastAsia="仿宋_GB2312" w:cs="仿宋_GB2312"/>
                <w:color w:val="000000"/>
                <w:sz w:val="18"/>
                <w:szCs w:val="18"/>
              </w:rPr>
              <w:t>。</w:t>
            </w:r>
          </w:p>
        </w:tc>
      </w:tr>
      <w:tr>
        <w:tblPrEx>
          <w:tblCellMar>
            <w:top w:w="0" w:type="dxa"/>
            <w:left w:w="108" w:type="dxa"/>
            <w:bottom w:w="0" w:type="dxa"/>
            <w:right w:w="108" w:type="dxa"/>
          </w:tblCellMar>
        </w:tblPrEx>
        <w:trPr>
          <w:trHeight w:val="600" w:hRule="atLeast"/>
        </w:trPr>
        <w:tc>
          <w:tcPr>
            <w:tcW w:w="323" w:type="pct"/>
            <w:vMerge w:val="restart"/>
            <w:tcBorders>
              <w:top w:val="single" w:color="auto" w:sz="4" w:space="0"/>
              <w:left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绩效指标</w:t>
            </w:r>
          </w:p>
        </w:tc>
        <w:tc>
          <w:tcPr>
            <w:tcW w:w="310"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一</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级</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指</w:t>
            </w:r>
          </w:p>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标</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二</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级</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指</w:t>
            </w:r>
          </w:p>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标</w:t>
            </w:r>
          </w:p>
        </w:tc>
        <w:tc>
          <w:tcPr>
            <w:tcW w:w="39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三</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级</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指</w:t>
            </w:r>
          </w:p>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标</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指</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标</w:t>
            </w:r>
          </w:p>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值</w:t>
            </w:r>
          </w:p>
        </w:tc>
        <w:tc>
          <w:tcPr>
            <w:tcW w:w="29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指标</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值设</w:t>
            </w:r>
          </w:p>
          <w:p>
            <w:pPr>
              <w:widowControl/>
              <w:jc w:val="center"/>
              <w:textAlignment w:val="center"/>
              <w:rPr>
                <w:rFonts w:hint="eastAsia" w:ascii="仿宋_GB2312" w:hAnsi="仿宋_GB2312" w:eastAsia="仿宋_GB2312" w:cs="仿宋_GB2312"/>
                <w:color w:val="000000"/>
                <w:kern w:val="0"/>
                <w:sz w:val="16"/>
                <w:szCs w:val="16"/>
              </w:rPr>
            </w:pPr>
            <w:r>
              <w:rPr>
                <w:rFonts w:hint="eastAsia" w:ascii="仿宋_GB2312" w:hAnsi="仿宋_GB2312" w:eastAsia="仿宋_GB2312" w:cs="仿宋_GB2312"/>
                <w:color w:val="000000"/>
                <w:kern w:val="0"/>
                <w:sz w:val="16"/>
                <w:szCs w:val="16"/>
              </w:rPr>
              <w:t>置</w:t>
            </w:r>
          </w:p>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依据</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上年完成值</w:t>
            </w:r>
          </w:p>
        </w:tc>
        <w:tc>
          <w:tcPr>
            <w:tcW w:w="32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指标分值权重</w:t>
            </w:r>
          </w:p>
        </w:tc>
        <w:tc>
          <w:tcPr>
            <w:tcW w:w="42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指标赋分规则</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佐证资料</w:t>
            </w:r>
          </w:p>
        </w:tc>
        <w:tc>
          <w:tcPr>
            <w:tcW w:w="316"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指标实际完成值</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完成率</w:t>
            </w:r>
          </w:p>
        </w:tc>
        <w:tc>
          <w:tcPr>
            <w:tcW w:w="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指标得分</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6"/>
                <w:szCs w:val="16"/>
              </w:rPr>
            </w:pPr>
            <w:r>
              <w:rPr>
                <w:rFonts w:hint="eastAsia" w:ascii="仿宋_GB2312" w:hAnsi="仿宋_GB2312" w:eastAsia="仿宋_GB2312" w:cs="仿宋_GB2312"/>
                <w:color w:val="000000"/>
                <w:kern w:val="0"/>
                <w:sz w:val="16"/>
                <w:szCs w:val="16"/>
              </w:rPr>
              <w:t>偏差原因分析及改进措施</w:t>
            </w:r>
          </w:p>
        </w:tc>
      </w:tr>
      <w:tr>
        <w:tblPrEx>
          <w:tblCellMar>
            <w:top w:w="0" w:type="dxa"/>
            <w:left w:w="108" w:type="dxa"/>
            <w:bottom w:w="0" w:type="dxa"/>
            <w:right w:w="108" w:type="dxa"/>
          </w:tblCellMar>
        </w:tblPrEx>
        <w:trPr>
          <w:trHeight w:val="1492" w:hRule="atLeast"/>
        </w:trPr>
        <w:tc>
          <w:tcPr>
            <w:tcW w:w="323" w:type="pct"/>
            <w:vMerge w:val="continue"/>
            <w:tcBorders>
              <w:left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310" w:type="pct"/>
            <w:vMerge w:val="restart"/>
            <w:tcBorders>
              <w:top w:val="single" w:color="auto" w:sz="4" w:space="0"/>
              <w:left w:val="single" w:color="auto" w:sz="4" w:space="0"/>
              <w:right w:val="single" w:color="auto" w:sz="4" w:space="0"/>
            </w:tcBorders>
            <w:noWrap/>
            <w:vAlign w:val="center"/>
          </w:tcPr>
          <w:p>
            <w:pPr>
              <w:widowControl/>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产</w:t>
            </w:r>
          </w:p>
          <w:p>
            <w:pPr>
              <w:widowControl/>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出</w:t>
            </w:r>
          </w:p>
          <w:p>
            <w:pPr>
              <w:widowControl/>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指</w:t>
            </w:r>
          </w:p>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标</w:t>
            </w:r>
          </w:p>
        </w:tc>
        <w:tc>
          <w:tcPr>
            <w:tcW w:w="299"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数</w:t>
            </w:r>
          </w:p>
          <w:p>
            <w:pPr>
              <w:widowControl/>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量</w:t>
            </w:r>
          </w:p>
          <w:p>
            <w:pPr>
              <w:widowControl/>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指</w:t>
            </w:r>
          </w:p>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标</w:t>
            </w:r>
          </w:p>
        </w:tc>
        <w:tc>
          <w:tcPr>
            <w:tcW w:w="396" w:type="pct"/>
            <w:tcBorders>
              <w:top w:val="single" w:color="auto" w:sz="4" w:space="0"/>
              <w:left w:val="single" w:color="auto" w:sz="4" w:space="0"/>
              <w:bottom w:val="single" w:color="auto" w:sz="4" w:space="0"/>
              <w:right w:val="single" w:color="auto" w:sz="4" w:space="0"/>
            </w:tcBorders>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教师人数</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eastAsia="zh-CN"/>
              </w:rPr>
            </w:pPr>
            <w:r>
              <w:rPr>
                <w:rFonts w:ascii="仿宋_GB2312" w:hAnsi="仿宋_GB2312" w:eastAsia="仿宋_GB2312" w:cs="仿宋_GB2312"/>
                <w:color w:val="000000"/>
                <w:sz w:val="18"/>
                <w:szCs w:val="18"/>
              </w:rPr>
              <w:t>&gt;=</w:t>
            </w:r>
            <w:r>
              <w:rPr>
                <w:rFonts w:hint="eastAsia" w:ascii="仿宋_GB2312" w:hAnsi="仿宋_GB2312" w:eastAsia="仿宋_GB2312" w:cs="仿宋_GB2312"/>
                <w:color w:val="000000"/>
                <w:sz w:val="18"/>
                <w:szCs w:val="18"/>
                <w:lang w:val="en-US" w:eastAsia="zh-CN"/>
              </w:rPr>
              <w:t>13人</w:t>
            </w:r>
          </w:p>
        </w:tc>
        <w:tc>
          <w:tcPr>
            <w:tcW w:w="29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历史</w:t>
            </w:r>
            <w:r>
              <w:rPr>
                <w:rFonts w:hint="eastAsia" w:ascii="仿宋_GB2312" w:hAnsi="仿宋_GB2312" w:eastAsia="仿宋_GB2312" w:cs="仿宋_GB2312"/>
                <w:color w:val="000000"/>
                <w:sz w:val="18"/>
                <w:szCs w:val="18"/>
              </w:rPr>
              <w:t>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p>
            <w:pPr>
              <w:rPr>
                <w:rFonts w:ascii="仿宋_GB2312" w:hAnsi="仿宋_GB2312" w:eastAsia="仿宋_GB2312" w:cs="仿宋_GB2312"/>
                <w:sz w:val="18"/>
                <w:szCs w:val="18"/>
              </w:rPr>
            </w:pPr>
          </w:p>
          <w:p>
            <w:pPr>
              <w:rPr>
                <w:rFonts w:ascii="仿宋_GB2312" w:hAnsi="仿宋_GB2312" w:eastAsia="仿宋_GB2312" w:cs="仿宋_GB2312"/>
                <w:sz w:val="18"/>
                <w:szCs w:val="18"/>
              </w:rPr>
            </w:pP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24人</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w:t>
            </w:r>
            <w:r>
              <w:rPr>
                <w:rFonts w:hint="eastAsia" w:ascii="仿宋_GB2312" w:hAnsi="仿宋_GB2312" w:eastAsia="仿宋_GB2312" w:cs="仿宋_GB2312"/>
                <w:color w:val="000000"/>
                <w:sz w:val="18"/>
                <w:szCs w:val="18"/>
                <w:lang w:val="en-US" w:eastAsia="zh-CN"/>
              </w:rPr>
              <w:t>85</w:t>
            </w:r>
            <w:r>
              <w:rPr>
                <w:rFonts w:ascii="仿宋_GB2312" w:hAnsi="仿宋_GB2312" w:eastAsia="仿宋_GB2312" w:cs="仿宋_GB2312"/>
                <w:color w:val="000000"/>
                <w:sz w:val="18"/>
                <w:szCs w:val="18"/>
              </w:rPr>
              <w:t>%</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因开设专业增加并且都能正常开班，达到开班培训的要求，因此培训教师人数有所增加。</w:t>
            </w:r>
          </w:p>
        </w:tc>
      </w:tr>
      <w:tr>
        <w:tblPrEx>
          <w:tblCellMar>
            <w:top w:w="0" w:type="dxa"/>
            <w:left w:w="108" w:type="dxa"/>
            <w:bottom w:w="0" w:type="dxa"/>
            <w:right w:w="108" w:type="dxa"/>
          </w:tblCellMar>
        </w:tblPrEx>
        <w:trPr>
          <w:trHeight w:val="310" w:hRule="atLeast"/>
        </w:trPr>
        <w:tc>
          <w:tcPr>
            <w:tcW w:w="323" w:type="pct"/>
            <w:vMerge w:val="continue"/>
            <w:tcBorders>
              <w:left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310" w:type="pct"/>
            <w:vMerge w:val="continue"/>
            <w:tcBorders>
              <w:left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18"/>
                <w:szCs w:val="18"/>
              </w:rPr>
            </w:pPr>
          </w:p>
        </w:tc>
        <w:tc>
          <w:tcPr>
            <w:tcW w:w="299"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质量指标</w:t>
            </w:r>
          </w:p>
        </w:tc>
        <w:tc>
          <w:tcPr>
            <w:tcW w:w="396" w:type="pct"/>
            <w:tcBorders>
              <w:top w:val="single" w:color="auto" w:sz="4" w:space="0"/>
              <w:left w:val="nil"/>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学期教学合格率</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29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历史</w:t>
            </w:r>
            <w:r>
              <w:rPr>
                <w:rFonts w:hint="eastAsia" w:ascii="仿宋_GB2312" w:hAnsi="仿宋_GB2312" w:eastAsia="仿宋_GB2312" w:cs="仿宋_GB2312"/>
                <w:color w:val="000000"/>
                <w:sz w:val="18"/>
                <w:szCs w:val="18"/>
              </w:rPr>
              <w:t>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15</w:t>
            </w:r>
          </w:p>
        </w:tc>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15</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1900" w:hRule="atLeast"/>
        </w:trPr>
        <w:tc>
          <w:tcPr>
            <w:tcW w:w="323" w:type="pct"/>
            <w:vMerge w:val="continue"/>
            <w:tcBorders>
              <w:left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310" w:type="pct"/>
            <w:vMerge w:val="continue"/>
            <w:tcBorders>
              <w:left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18"/>
                <w:szCs w:val="18"/>
              </w:rPr>
            </w:pPr>
          </w:p>
        </w:tc>
        <w:tc>
          <w:tcPr>
            <w:tcW w:w="299"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时效指标</w:t>
            </w:r>
          </w:p>
        </w:tc>
        <w:tc>
          <w:tcPr>
            <w:tcW w:w="396" w:type="pct"/>
            <w:tcBorders>
              <w:top w:val="single" w:color="auto" w:sz="4" w:space="0"/>
              <w:left w:val="nil"/>
              <w:bottom w:val="single" w:color="auto" w:sz="4" w:space="0"/>
              <w:right w:val="single" w:color="auto" w:sz="4" w:space="0"/>
            </w:tcBorders>
            <w:vAlign w:val="center"/>
          </w:tcPr>
          <w:p>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按期安排教学活动培训</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2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历史</w:t>
            </w:r>
            <w:r>
              <w:rPr>
                <w:rFonts w:hint="eastAsia" w:ascii="仿宋_GB2312" w:hAnsi="仿宋_GB2312" w:eastAsia="仿宋_GB2312" w:cs="仿宋_GB2312"/>
                <w:color w:val="000000"/>
                <w:sz w:val="18"/>
                <w:szCs w:val="18"/>
              </w:rPr>
              <w:t>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15</w:t>
            </w:r>
          </w:p>
        </w:tc>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15</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311" w:hRule="atLeast"/>
        </w:trPr>
        <w:tc>
          <w:tcPr>
            <w:tcW w:w="323" w:type="pct"/>
            <w:vMerge w:val="continue"/>
            <w:tcBorders>
              <w:left w:val="single" w:color="auto" w:sz="4" w:space="0"/>
              <w:right w:val="single" w:color="auto" w:sz="4" w:space="0"/>
            </w:tcBorders>
            <w:noWrap/>
            <w:vAlign w:val="center"/>
          </w:tcPr>
          <w:p>
            <w:pPr>
              <w:jc w:val="center"/>
              <w:rPr>
                <w:rFonts w:ascii="仿宋_GB2312" w:hAnsi="仿宋_GB2312" w:eastAsia="仿宋_GB2312" w:cs="仿宋_GB2312"/>
                <w:color w:val="000000"/>
                <w:sz w:val="18"/>
                <w:szCs w:val="18"/>
              </w:rPr>
            </w:pPr>
          </w:p>
        </w:tc>
        <w:tc>
          <w:tcPr>
            <w:tcW w:w="310" w:type="pct"/>
            <w:vMerge w:val="restart"/>
            <w:tcBorders>
              <w:top w:val="single" w:color="auto" w:sz="4" w:space="0"/>
              <w:left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成本指标</w:t>
            </w:r>
          </w:p>
        </w:tc>
        <w:tc>
          <w:tcPr>
            <w:tcW w:w="299" w:type="pct"/>
            <w:vMerge w:val="restart"/>
            <w:tcBorders>
              <w:top w:val="single" w:color="auto" w:sz="4" w:space="0"/>
              <w:left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18"/>
                <w:szCs w:val="18"/>
                <w:highlight w:val="red"/>
              </w:rPr>
            </w:pPr>
            <w:r>
              <w:rPr>
                <w:rFonts w:hint="eastAsia" w:ascii="仿宋_GB2312" w:hAnsi="仿宋_GB2312" w:eastAsia="仿宋_GB2312" w:cs="仿宋_GB2312"/>
                <w:color w:val="000000"/>
                <w:kern w:val="0"/>
                <w:sz w:val="18"/>
                <w:szCs w:val="18"/>
              </w:rPr>
              <w:t>经济成本指标</w:t>
            </w:r>
          </w:p>
        </w:tc>
        <w:tc>
          <w:tcPr>
            <w:tcW w:w="396" w:type="pct"/>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课时费支出</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&lt;=</w:t>
            </w:r>
            <w:r>
              <w:rPr>
                <w:rFonts w:hint="eastAsia" w:ascii="仿宋_GB2312" w:hAnsi="仿宋_GB2312" w:eastAsia="仿宋_GB2312" w:cs="仿宋_GB2312"/>
                <w:color w:val="000000"/>
                <w:sz w:val="18"/>
                <w:szCs w:val="18"/>
                <w:lang w:val="en-US" w:eastAsia="zh-CN"/>
              </w:rPr>
              <w:t>40</w:t>
            </w:r>
            <w:r>
              <w:rPr>
                <w:rFonts w:hint="eastAsia" w:ascii="仿宋_GB2312" w:hAnsi="仿宋_GB2312" w:eastAsia="仿宋_GB2312" w:cs="仿宋_GB2312"/>
                <w:color w:val="000000"/>
                <w:sz w:val="18"/>
                <w:szCs w:val="18"/>
              </w:rPr>
              <w:t>万元</w:t>
            </w:r>
          </w:p>
        </w:tc>
        <w:tc>
          <w:tcPr>
            <w:tcW w:w="29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w:t>
            </w:r>
          </w:p>
        </w:tc>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40</w:t>
            </w:r>
            <w:r>
              <w:rPr>
                <w:rFonts w:hint="eastAsia" w:ascii="仿宋_GB2312" w:hAnsi="仿宋_GB2312" w:eastAsia="仿宋_GB2312" w:cs="仿宋_GB2312"/>
                <w:color w:val="000000"/>
                <w:sz w:val="18"/>
                <w:szCs w:val="18"/>
              </w:rPr>
              <w:t>万元</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310" w:hRule="atLeast"/>
        </w:trPr>
        <w:tc>
          <w:tcPr>
            <w:tcW w:w="323" w:type="pct"/>
            <w:vMerge w:val="continue"/>
            <w:tcBorders>
              <w:left w:val="single" w:color="auto" w:sz="4" w:space="0"/>
              <w:right w:val="single" w:color="auto" w:sz="4" w:space="0"/>
            </w:tcBorders>
            <w:noWrap/>
            <w:vAlign w:val="center"/>
          </w:tcPr>
          <w:p>
            <w:pPr>
              <w:jc w:val="center"/>
              <w:rPr>
                <w:rFonts w:ascii="仿宋_GB2312" w:hAnsi="仿宋_GB2312" w:eastAsia="仿宋_GB2312" w:cs="仿宋_GB2312"/>
                <w:color w:val="000000"/>
                <w:sz w:val="18"/>
                <w:szCs w:val="18"/>
              </w:rPr>
            </w:pPr>
          </w:p>
        </w:tc>
        <w:tc>
          <w:tcPr>
            <w:tcW w:w="310" w:type="pct"/>
            <w:vMerge w:val="continue"/>
            <w:tcBorders>
              <w:left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299" w:type="pct"/>
            <w:vMerge w:val="continue"/>
            <w:tcBorders>
              <w:left w:val="single" w:color="auto" w:sz="4" w:space="0"/>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18"/>
                <w:szCs w:val="18"/>
              </w:rPr>
            </w:pPr>
          </w:p>
        </w:tc>
        <w:tc>
          <w:tcPr>
            <w:tcW w:w="396" w:type="pct"/>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公益活动经费</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&lt;=</w:t>
            </w:r>
            <w:r>
              <w:rPr>
                <w:rFonts w:hint="eastAsia" w:ascii="仿宋_GB2312" w:hAnsi="仿宋_GB2312" w:eastAsia="仿宋_GB2312" w:cs="仿宋_GB2312"/>
                <w:color w:val="000000"/>
                <w:sz w:val="18"/>
                <w:szCs w:val="18"/>
                <w:lang w:val="en-US" w:eastAsia="zh-CN"/>
              </w:rPr>
              <w:t>4</w:t>
            </w:r>
            <w:r>
              <w:rPr>
                <w:rFonts w:hint="eastAsia" w:ascii="仿宋_GB2312" w:hAnsi="仿宋_GB2312" w:eastAsia="仿宋_GB2312" w:cs="仿宋_GB2312"/>
                <w:color w:val="000000"/>
                <w:sz w:val="18"/>
                <w:szCs w:val="18"/>
              </w:rPr>
              <w:t>万元</w:t>
            </w:r>
          </w:p>
        </w:tc>
        <w:tc>
          <w:tcPr>
            <w:tcW w:w="295" w:type="pct"/>
            <w:tcBorders>
              <w:top w:val="single" w:color="auto" w:sz="4" w:space="0"/>
              <w:left w:val="single" w:color="auto" w:sz="4" w:space="0"/>
              <w:bottom w:val="nil"/>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5</w:t>
            </w:r>
          </w:p>
        </w:tc>
        <w:tc>
          <w:tcPr>
            <w:tcW w:w="424" w:type="pct"/>
            <w:tcBorders>
              <w:top w:val="single" w:color="auto" w:sz="4" w:space="0"/>
              <w:left w:val="single" w:color="auto" w:sz="4" w:space="0"/>
              <w:bottom w:val="nil"/>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4</w:t>
            </w:r>
            <w:r>
              <w:rPr>
                <w:rFonts w:hint="eastAsia" w:ascii="仿宋_GB2312" w:hAnsi="仿宋_GB2312" w:eastAsia="仿宋_GB2312" w:cs="仿宋_GB2312"/>
                <w:color w:val="000000"/>
                <w:sz w:val="18"/>
                <w:szCs w:val="18"/>
              </w:rPr>
              <w:t>万元</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5</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310" w:hRule="atLeast"/>
        </w:trPr>
        <w:tc>
          <w:tcPr>
            <w:tcW w:w="323" w:type="pct"/>
            <w:vMerge w:val="continue"/>
            <w:tcBorders>
              <w:left w:val="single" w:color="auto" w:sz="4" w:space="0"/>
              <w:right w:val="single" w:color="auto" w:sz="4" w:space="0"/>
            </w:tcBorders>
            <w:noWrap/>
            <w:vAlign w:val="center"/>
          </w:tcPr>
          <w:p>
            <w:pPr>
              <w:jc w:val="center"/>
              <w:rPr>
                <w:rFonts w:ascii="仿宋_GB2312" w:hAnsi="仿宋_GB2312" w:eastAsia="仿宋_GB2312" w:cs="仿宋_GB2312"/>
                <w:color w:val="000000"/>
                <w:sz w:val="18"/>
                <w:szCs w:val="18"/>
              </w:rPr>
            </w:pPr>
          </w:p>
        </w:tc>
        <w:tc>
          <w:tcPr>
            <w:tcW w:w="310" w:type="pct"/>
            <w:vMerge w:val="continue"/>
            <w:tcBorders>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299" w:type="pct"/>
            <w:vMerge w:val="continue"/>
            <w:tcBorders>
              <w:left w:val="single" w:color="auto" w:sz="4" w:space="0"/>
              <w:bottom w:val="nil"/>
              <w:right w:val="single" w:color="auto" w:sz="4" w:space="0"/>
            </w:tcBorders>
            <w:noWrap/>
            <w:vAlign w:val="center"/>
          </w:tcPr>
          <w:p>
            <w:pPr>
              <w:widowControl/>
              <w:jc w:val="center"/>
              <w:textAlignment w:val="center"/>
              <w:rPr>
                <w:rFonts w:ascii="仿宋_GB2312" w:hAnsi="仿宋_GB2312" w:eastAsia="仿宋_GB2312" w:cs="仿宋_GB2312"/>
                <w:color w:val="000000"/>
                <w:kern w:val="0"/>
                <w:sz w:val="18"/>
                <w:szCs w:val="18"/>
              </w:rPr>
            </w:pPr>
          </w:p>
        </w:tc>
        <w:tc>
          <w:tcPr>
            <w:tcW w:w="396" w:type="pct"/>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青年服务工作及教学业务活动支出</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&lt;=</w:t>
            </w:r>
            <w:r>
              <w:rPr>
                <w:rFonts w:hint="eastAsia" w:ascii="仿宋_GB2312" w:hAnsi="仿宋_GB2312" w:eastAsia="仿宋_GB2312" w:cs="仿宋_GB2312"/>
                <w:color w:val="000000"/>
                <w:sz w:val="18"/>
                <w:szCs w:val="18"/>
                <w:lang w:val="en-US" w:eastAsia="zh-CN"/>
              </w:rPr>
              <w:t>6</w:t>
            </w:r>
            <w:r>
              <w:rPr>
                <w:rFonts w:hint="eastAsia" w:ascii="仿宋_GB2312" w:hAnsi="仿宋_GB2312" w:eastAsia="仿宋_GB2312" w:cs="仿宋_GB2312"/>
                <w:color w:val="000000"/>
                <w:sz w:val="18"/>
                <w:szCs w:val="18"/>
              </w:rPr>
              <w:t>万元</w:t>
            </w:r>
          </w:p>
        </w:tc>
        <w:tc>
          <w:tcPr>
            <w:tcW w:w="295" w:type="pct"/>
            <w:tcBorders>
              <w:top w:val="single" w:color="auto" w:sz="4" w:space="0"/>
              <w:left w:val="single" w:color="auto" w:sz="4" w:space="0"/>
              <w:bottom w:val="nil"/>
              <w:right w:val="single" w:color="auto" w:sz="4" w:space="0"/>
            </w:tcBorders>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5</w:t>
            </w:r>
          </w:p>
        </w:tc>
        <w:tc>
          <w:tcPr>
            <w:tcW w:w="424" w:type="pct"/>
            <w:tcBorders>
              <w:top w:val="single" w:color="auto" w:sz="4" w:space="0"/>
              <w:left w:val="single" w:color="auto" w:sz="4" w:space="0"/>
              <w:bottom w:val="nil"/>
              <w:right w:val="single" w:color="auto" w:sz="4" w:space="0"/>
            </w:tcBorders>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6万元</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5</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left w:val="single" w:color="auto" w:sz="4" w:space="0"/>
              <w:right w:val="single" w:color="auto" w:sz="4" w:space="0"/>
            </w:tcBorders>
            <w:noWrap/>
            <w:vAlign w:val="center"/>
          </w:tcPr>
          <w:p>
            <w:pPr>
              <w:jc w:val="center"/>
              <w:rPr>
                <w:rFonts w:ascii="仿宋_GB2312" w:hAnsi="仿宋_GB2312" w:eastAsia="仿宋_GB2312" w:cs="仿宋_GB2312"/>
                <w:color w:val="000000"/>
                <w:sz w:val="18"/>
                <w:szCs w:val="18"/>
              </w:rPr>
            </w:pPr>
          </w:p>
        </w:tc>
        <w:tc>
          <w:tcPr>
            <w:tcW w:w="310"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效益指标</w:t>
            </w:r>
          </w:p>
        </w:tc>
        <w:tc>
          <w:tcPr>
            <w:tcW w:w="299" w:type="pct"/>
            <w:vMerge w:val="restart"/>
            <w:tcBorders>
              <w:top w:val="single" w:color="auto" w:sz="4" w:space="0"/>
              <w:left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社会效益指标</w:t>
            </w:r>
          </w:p>
        </w:tc>
        <w:tc>
          <w:tcPr>
            <w:tcW w:w="39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保</w:t>
            </w:r>
            <w:r>
              <w:rPr>
                <w:rFonts w:hint="eastAsia" w:ascii="仿宋_GB2312" w:hAnsi="仿宋_GB2312" w:eastAsia="仿宋_GB2312" w:cs="仿宋_GB2312"/>
                <w:color w:val="000000"/>
                <w:sz w:val="18"/>
                <w:szCs w:val="18"/>
              </w:rPr>
              <w:t>障教学工作正常开展</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有效保障</w:t>
            </w:r>
          </w:p>
        </w:tc>
        <w:tc>
          <w:tcPr>
            <w:tcW w:w="29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历史标准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按评判等级赋分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有效保障</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left w:val="single" w:color="auto" w:sz="4" w:space="0"/>
              <w:right w:val="single" w:color="auto" w:sz="4" w:space="0"/>
            </w:tcBorders>
            <w:noWrap/>
            <w:vAlign w:val="center"/>
          </w:tcPr>
          <w:p>
            <w:pPr>
              <w:jc w:val="center"/>
              <w:rPr>
                <w:rFonts w:ascii="仿宋_GB2312" w:hAnsi="仿宋_GB2312" w:eastAsia="仿宋_GB2312" w:cs="仿宋_GB2312"/>
                <w:color w:val="000000"/>
                <w:sz w:val="18"/>
                <w:szCs w:val="18"/>
              </w:rPr>
            </w:pPr>
          </w:p>
        </w:tc>
        <w:tc>
          <w:tcPr>
            <w:tcW w:w="310"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c>
          <w:tcPr>
            <w:tcW w:w="299" w:type="pct"/>
            <w:vMerge w:val="continue"/>
            <w:tcBorders>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p>
        </w:tc>
        <w:tc>
          <w:tcPr>
            <w:tcW w:w="39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定期安排公益性活动、提升公益性活动的影响</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不断</w:t>
            </w:r>
            <w:r>
              <w:rPr>
                <w:rFonts w:hint="eastAsia" w:ascii="仿宋_GB2312" w:hAnsi="仿宋_GB2312" w:eastAsia="仿宋_GB2312" w:cs="仿宋_GB2312"/>
                <w:color w:val="000000"/>
                <w:sz w:val="18"/>
                <w:szCs w:val="18"/>
              </w:rPr>
              <w:t>提升</w:t>
            </w:r>
          </w:p>
        </w:tc>
        <w:tc>
          <w:tcPr>
            <w:tcW w:w="295"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按评判等级赋分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不断</w:t>
            </w:r>
            <w:r>
              <w:rPr>
                <w:rFonts w:hint="eastAsia" w:ascii="仿宋_GB2312" w:hAnsi="仿宋_GB2312" w:eastAsia="仿宋_GB2312" w:cs="仿宋_GB2312"/>
                <w:color w:val="000000"/>
                <w:sz w:val="18"/>
                <w:szCs w:val="18"/>
              </w:rPr>
              <w:t>提升</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288" w:hRule="atLeast"/>
        </w:trPr>
        <w:tc>
          <w:tcPr>
            <w:tcW w:w="323" w:type="pct"/>
            <w:vMerge w:val="continue"/>
            <w:tcBorders>
              <w:left w:val="single" w:color="auto" w:sz="4" w:space="0"/>
              <w:bottom w:val="single" w:color="auto" w:sz="4" w:space="0"/>
              <w:right w:val="single" w:color="auto" w:sz="4" w:space="0"/>
            </w:tcBorders>
            <w:noWrap/>
            <w:vAlign w:val="center"/>
          </w:tcPr>
          <w:p>
            <w:pPr>
              <w:jc w:val="center"/>
              <w:rPr>
                <w:rFonts w:ascii="仿宋_GB2312" w:hAnsi="仿宋_GB2312" w:eastAsia="仿宋_GB2312" w:cs="仿宋_GB2312"/>
                <w:color w:val="000000"/>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满意度指标</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满意度指标</w:t>
            </w:r>
          </w:p>
        </w:tc>
        <w:tc>
          <w:tcPr>
            <w:tcW w:w="396" w:type="pct"/>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教师满意度 （%）</w:t>
            </w:r>
          </w:p>
        </w:tc>
        <w:tc>
          <w:tcPr>
            <w:tcW w:w="417"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8"/>
                <w:szCs w:val="18"/>
                <w:lang w:val="en-US" w:eastAsia="zh-CN" w:bidi="ar-SA"/>
              </w:rPr>
            </w:pPr>
            <w:r>
              <w:rPr>
                <w:rFonts w:hint="eastAsia" w:ascii="仿宋_GB2312" w:hAnsi="仿宋_GB2312" w:eastAsia="仿宋_GB2312" w:cs="仿宋_GB2312"/>
                <w:color w:val="000000"/>
                <w:sz w:val="18"/>
                <w:szCs w:val="18"/>
              </w:rPr>
              <w:t>=100%</w:t>
            </w:r>
          </w:p>
        </w:tc>
        <w:tc>
          <w:tcPr>
            <w:tcW w:w="295" w:type="pct"/>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8"/>
                <w:szCs w:val="18"/>
                <w:lang w:val="en-US" w:eastAsia="zh-CN" w:bidi="ar-SA"/>
              </w:rPr>
            </w:pPr>
            <w:r>
              <w:rPr>
                <w:rFonts w:hint="eastAsia" w:ascii="仿宋_GB2312" w:hAnsi="仿宋_GB2312" w:eastAsia="仿宋_GB2312" w:cs="仿宋_GB2312"/>
                <w:color w:val="000000"/>
                <w:sz w:val="18"/>
                <w:szCs w:val="18"/>
                <w:lang w:val="en-US" w:eastAsia="zh-CN"/>
              </w:rPr>
              <w:t>历史</w:t>
            </w:r>
            <w:r>
              <w:rPr>
                <w:rFonts w:hint="eastAsia" w:ascii="仿宋_GB2312" w:hAnsi="仿宋_GB2312" w:eastAsia="仿宋_GB2312" w:cs="仿宋_GB2312"/>
                <w:color w:val="000000"/>
                <w:sz w:val="18"/>
                <w:szCs w:val="18"/>
              </w:rPr>
              <w:t>标准</w:t>
            </w:r>
          </w:p>
        </w:tc>
        <w:tc>
          <w:tcPr>
            <w:tcW w:w="376"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8"/>
                <w:szCs w:val="18"/>
                <w:lang w:val="en-US" w:eastAsia="zh-CN" w:bidi="ar-SA"/>
              </w:rPr>
            </w:pPr>
            <w:r>
              <w:rPr>
                <w:rFonts w:hint="eastAsia" w:ascii="仿宋_GB2312" w:hAnsi="仿宋_GB2312" w:eastAsia="仿宋_GB2312" w:cs="仿宋_GB2312"/>
                <w:color w:val="000000"/>
                <w:sz w:val="18"/>
                <w:szCs w:val="18"/>
                <w:lang w:val="en-US" w:eastAsia="zh-CN"/>
              </w:rPr>
              <w:t>/</w:t>
            </w:r>
          </w:p>
        </w:tc>
        <w:tc>
          <w:tcPr>
            <w:tcW w:w="32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kern w:val="2"/>
                <w:sz w:val="18"/>
                <w:szCs w:val="18"/>
                <w:lang w:val="en-US" w:eastAsia="zh-CN" w:bidi="ar-SA"/>
              </w:rPr>
            </w:pPr>
            <w:r>
              <w:rPr>
                <w:rFonts w:hint="eastAsia" w:ascii="仿宋_GB2312" w:hAnsi="仿宋_GB2312" w:eastAsia="仿宋_GB2312" w:cs="仿宋_GB2312"/>
                <w:color w:val="000000"/>
                <w:sz w:val="18"/>
                <w:szCs w:val="18"/>
                <w:lang w:val="en-US" w:eastAsia="zh-CN"/>
              </w:rPr>
              <w:t>10</w:t>
            </w:r>
          </w:p>
        </w:tc>
        <w:tc>
          <w:tcPr>
            <w:tcW w:w="424" w:type="pct"/>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kern w:val="2"/>
                <w:sz w:val="18"/>
                <w:szCs w:val="18"/>
                <w:lang w:val="en-US" w:eastAsia="zh-CN" w:bidi="ar-SA"/>
              </w:rPr>
            </w:pPr>
            <w:r>
              <w:rPr>
                <w:rFonts w:hint="eastAsia" w:ascii="仿宋_GB2312" w:hAnsi="仿宋_GB2312" w:eastAsia="仿宋_GB2312" w:cs="仿宋_GB2312"/>
                <w:color w:val="000000"/>
                <w:sz w:val="18"/>
                <w:szCs w:val="18"/>
              </w:rPr>
              <w:t>工作资料</w:t>
            </w:r>
          </w:p>
        </w:tc>
        <w:tc>
          <w:tcPr>
            <w:tcW w:w="316"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325" w:type="pct"/>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c>
          <w:tcPr>
            <w:tcW w:w="264" w:type="pct"/>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w:t>
            </w:r>
          </w:p>
        </w:tc>
        <w:tc>
          <w:tcPr>
            <w:tcW w:w="581"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p>
        </w:tc>
      </w:tr>
      <w:tr>
        <w:tblPrEx>
          <w:tblCellMar>
            <w:top w:w="0" w:type="dxa"/>
            <w:left w:w="108" w:type="dxa"/>
            <w:bottom w:w="0" w:type="dxa"/>
            <w:right w:w="108" w:type="dxa"/>
          </w:tblCellMar>
        </w:tblPrEx>
        <w:trPr>
          <w:trHeight w:val="567" w:hRule="atLeast"/>
        </w:trPr>
        <w:tc>
          <w:tcPr>
            <w:tcW w:w="1329" w:type="pct"/>
            <w:gridSpan w:val="4"/>
            <w:tcBorders>
              <w:top w:val="single" w:color="auto" w:sz="4" w:space="0"/>
              <w:left w:val="single" w:color="auto" w:sz="4" w:space="0"/>
              <w:bottom w:val="single" w:color="auto" w:sz="4" w:space="0"/>
              <w:right w:val="nil"/>
            </w:tcBorders>
            <w:vAlign w:val="center"/>
          </w:tcPr>
          <w:p>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总分</w:t>
            </w:r>
          </w:p>
        </w:tc>
        <w:tc>
          <w:tcPr>
            <w:tcW w:w="3670" w:type="pct"/>
            <w:gridSpan w:val="15"/>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w:t>
            </w:r>
          </w:p>
        </w:tc>
      </w:tr>
    </w:tbl>
    <w:p>
      <w:pPr>
        <w:spacing w:line="600" w:lineRule="exact"/>
        <w:rPr>
          <w:rFonts w:eastAsia="黑体"/>
          <w:sz w:val="32"/>
          <w:szCs w:val="32"/>
        </w:rPr>
      </w:pPr>
      <w:r>
        <w:rPr>
          <w:rFonts w:hint="eastAsia" w:eastAsia="黑体"/>
          <w:sz w:val="32"/>
          <w:szCs w:val="32"/>
        </w:rPr>
        <w:t>附件</w:t>
      </w:r>
      <w:r>
        <w:rPr>
          <w:rFonts w:eastAsia="黑体"/>
          <w:sz w:val="32"/>
          <w:szCs w:val="32"/>
        </w:rPr>
        <w:t>2</w:t>
      </w:r>
    </w:p>
    <w:p>
      <w:pPr>
        <w:pStyle w:val="31"/>
        <w:ind w:firstLine="562"/>
        <w:jc w:val="center"/>
        <w:rPr>
          <w:rFonts w:ascii="仿宋_GB2312" w:hAnsi="仿宋_GB2312" w:eastAsia="仿宋_GB2312" w:cs="仿宋_GB2312"/>
          <w:sz w:val="28"/>
          <w:szCs w:val="40"/>
        </w:rPr>
      </w:pPr>
      <w:bookmarkStart w:id="3" w:name="_Toc26499_WPSOffice_Level2"/>
      <w:bookmarkStart w:id="4" w:name="_Toc30064_WPSOffice_Level1"/>
      <w:r>
        <w:rPr>
          <w:rFonts w:hint="eastAsia" w:ascii="仿宋_GB2312" w:hAnsi="仿宋_GB2312" w:eastAsia="仿宋_GB2312" w:cs="仿宋_GB2312"/>
          <w:b/>
          <w:bCs/>
          <w:sz w:val="28"/>
          <w:szCs w:val="40"/>
          <w:highlight w:val="none"/>
          <w:shd w:val="clear" w:color="auto" w:fill="auto"/>
          <w:lang w:val="en-US" w:eastAsia="zh-CN"/>
        </w:rPr>
        <w:t>教学活动经费</w:t>
      </w:r>
      <w:r>
        <w:rPr>
          <w:rFonts w:hint="eastAsia" w:ascii="仿宋_GB2312" w:hAnsi="仿宋_GB2312" w:eastAsia="仿宋_GB2312" w:cs="仿宋_GB2312"/>
          <w:b/>
          <w:bCs/>
          <w:sz w:val="28"/>
          <w:szCs w:val="40"/>
        </w:rPr>
        <w:t>绩效评价指标体系及综合评分表</w:t>
      </w:r>
      <w:bookmarkEnd w:id="3"/>
      <w:bookmarkEnd w:id="4"/>
    </w:p>
    <w:tbl>
      <w:tblPr>
        <w:tblStyle w:val="12"/>
        <w:tblW w:w="447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4"/>
        <w:gridCol w:w="1000"/>
        <w:gridCol w:w="1071"/>
        <w:gridCol w:w="1725"/>
        <w:gridCol w:w="5216"/>
        <w:gridCol w:w="1299"/>
        <w:gridCol w:w="136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240" w:lineRule="atLeast"/>
              <w:jc w:val="center"/>
              <w:rPr>
                <w:rFonts w:eastAsia="仿宋_GB2312"/>
                <w:b/>
                <w:bCs/>
                <w:color w:val="000000"/>
                <w:kern w:val="0"/>
                <w:sz w:val="18"/>
                <w:szCs w:val="18"/>
              </w:rPr>
            </w:pPr>
            <w:r>
              <w:rPr>
                <w:rFonts w:hint="eastAsia" w:eastAsia="仿宋_GB2312"/>
                <w:b/>
                <w:bCs/>
                <w:color w:val="000000"/>
                <w:kern w:val="0"/>
                <w:sz w:val="18"/>
                <w:szCs w:val="18"/>
              </w:rPr>
              <w:t>一级指标</w:t>
            </w:r>
          </w:p>
        </w:tc>
        <w:tc>
          <w:tcPr>
            <w:tcW w:w="394" w:type="pct"/>
            <w:shd w:val="clear" w:color="auto" w:fill="FFFFFF"/>
            <w:vAlign w:val="center"/>
          </w:tcPr>
          <w:p>
            <w:pPr>
              <w:widowControl/>
              <w:spacing w:line="240" w:lineRule="atLeast"/>
              <w:jc w:val="center"/>
              <w:rPr>
                <w:rFonts w:eastAsia="仿宋_GB2312"/>
                <w:b/>
                <w:bCs/>
                <w:color w:val="000000"/>
                <w:kern w:val="0"/>
                <w:sz w:val="18"/>
                <w:szCs w:val="18"/>
              </w:rPr>
            </w:pPr>
            <w:r>
              <w:rPr>
                <w:rFonts w:hint="eastAsia" w:eastAsia="仿宋_GB2312"/>
                <w:b/>
                <w:bCs/>
                <w:color w:val="000000"/>
                <w:kern w:val="0"/>
                <w:sz w:val="18"/>
                <w:szCs w:val="18"/>
              </w:rPr>
              <w:t>二级指标</w:t>
            </w:r>
          </w:p>
        </w:tc>
        <w:tc>
          <w:tcPr>
            <w:tcW w:w="422" w:type="pct"/>
            <w:shd w:val="clear" w:color="auto" w:fill="FFFFFF"/>
            <w:vAlign w:val="center"/>
          </w:tcPr>
          <w:p>
            <w:pPr>
              <w:widowControl/>
              <w:spacing w:line="240" w:lineRule="atLeast"/>
              <w:jc w:val="center"/>
              <w:rPr>
                <w:rFonts w:eastAsia="仿宋_GB2312"/>
                <w:b/>
                <w:bCs/>
                <w:color w:val="000000"/>
                <w:kern w:val="0"/>
                <w:sz w:val="18"/>
                <w:szCs w:val="18"/>
              </w:rPr>
            </w:pPr>
            <w:r>
              <w:rPr>
                <w:rFonts w:hint="eastAsia" w:eastAsia="仿宋_GB2312"/>
                <w:b/>
                <w:bCs/>
                <w:color w:val="000000"/>
                <w:kern w:val="0"/>
                <w:sz w:val="18"/>
                <w:szCs w:val="18"/>
              </w:rPr>
              <w:t>三级指标</w:t>
            </w:r>
          </w:p>
        </w:tc>
        <w:tc>
          <w:tcPr>
            <w:tcW w:w="680" w:type="pct"/>
            <w:shd w:val="clear" w:color="auto" w:fill="FFFFFF"/>
            <w:vAlign w:val="center"/>
          </w:tcPr>
          <w:p>
            <w:pPr>
              <w:widowControl/>
              <w:spacing w:line="240" w:lineRule="atLeast"/>
              <w:jc w:val="center"/>
              <w:rPr>
                <w:rFonts w:eastAsia="仿宋_GB2312"/>
                <w:b/>
                <w:bCs/>
                <w:color w:val="000000"/>
                <w:kern w:val="0"/>
                <w:sz w:val="18"/>
                <w:szCs w:val="18"/>
              </w:rPr>
            </w:pPr>
            <w:r>
              <w:rPr>
                <w:rFonts w:hint="eastAsia" w:eastAsia="仿宋_GB2312"/>
                <w:b/>
                <w:bCs/>
                <w:color w:val="000000"/>
                <w:kern w:val="0"/>
                <w:sz w:val="18"/>
                <w:szCs w:val="18"/>
              </w:rPr>
              <w:t>指标解释</w:t>
            </w:r>
          </w:p>
        </w:tc>
        <w:tc>
          <w:tcPr>
            <w:tcW w:w="2056" w:type="pct"/>
            <w:shd w:val="clear" w:color="auto" w:fill="FFFFFF"/>
            <w:vAlign w:val="center"/>
          </w:tcPr>
          <w:p>
            <w:pPr>
              <w:widowControl/>
              <w:spacing w:line="240" w:lineRule="atLeast"/>
              <w:jc w:val="center"/>
              <w:rPr>
                <w:rFonts w:eastAsia="仿宋_GB2312"/>
                <w:b/>
                <w:bCs/>
                <w:color w:val="000000"/>
                <w:kern w:val="0"/>
                <w:sz w:val="18"/>
                <w:szCs w:val="18"/>
              </w:rPr>
            </w:pPr>
            <w:r>
              <w:rPr>
                <w:rFonts w:hint="eastAsia" w:eastAsia="仿宋_GB2312"/>
                <w:b/>
                <w:bCs/>
                <w:color w:val="000000"/>
                <w:kern w:val="0"/>
                <w:sz w:val="18"/>
                <w:szCs w:val="18"/>
              </w:rPr>
              <w:t>指标说明</w:t>
            </w:r>
          </w:p>
        </w:tc>
        <w:tc>
          <w:tcPr>
            <w:tcW w:w="512" w:type="pct"/>
            <w:shd w:val="clear" w:color="auto" w:fill="FFFFFF"/>
            <w:vAlign w:val="center"/>
          </w:tcPr>
          <w:p>
            <w:pPr>
              <w:widowControl/>
              <w:spacing w:line="240" w:lineRule="atLeast"/>
              <w:jc w:val="center"/>
              <w:rPr>
                <w:rFonts w:eastAsia="仿宋_GB2312"/>
                <w:b/>
                <w:bCs/>
                <w:color w:val="000000"/>
                <w:kern w:val="0"/>
                <w:sz w:val="18"/>
                <w:szCs w:val="18"/>
              </w:rPr>
            </w:pPr>
            <w:r>
              <w:rPr>
                <w:rFonts w:hint="eastAsia" w:eastAsia="仿宋_GB2312"/>
                <w:b/>
                <w:bCs/>
                <w:color w:val="000000"/>
                <w:kern w:val="0"/>
                <w:sz w:val="18"/>
                <w:szCs w:val="18"/>
              </w:rPr>
              <w:t>权重</w:t>
            </w:r>
          </w:p>
        </w:tc>
        <w:tc>
          <w:tcPr>
            <w:tcW w:w="538" w:type="pct"/>
            <w:shd w:val="clear" w:color="auto" w:fill="FFFFFF"/>
            <w:vAlign w:val="center"/>
          </w:tcPr>
          <w:p>
            <w:pPr>
              <w:widowControl/>
              <w:spacing w:line="240" w:lineRule="atLeast"/>
              <w:jc w:val="center"/>
              <w:rPr>
                <w:rFonts w:eastAsia="仿宋_GB2312"/>
                <w:b/>
                <w:bCs/>
                <w:color w:val="000000"/>
                <w:kern w:val="0"/>
                <w:sz w:val="18"/>
                <w:szCs w:val="18"/>
              </w:rPr>
            </w:pPr>
            <w:r>
              <w:rPr>
                <w:rFonts w:hint="eastAsia" w:eastAsia="仿宋_GB2312"/>
                <w:b/>
                <w:bCs/>
                <w:color w:val="000000"/>
                <w:kern w:val="0"/>
                <w:sz w:val="18"/>
                <w:szCs w:val="18"/>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240" w:lineRule="atLeast"/>
              <w:jc w:val="center"/>
              <w:rPr>
                <w:rFonts w:eastAsia="仿宋_GB2312"/>
                <w:color w:val="000000"/>
                <w:kern w:val="0"/>
                <w:sz w:val="18"/>
                <w:szCs w:val="18"/>
              </w:rPr>
            </w:pPr>
          </w:p>
          <w:p>
            <w:pPr>
              <w:widowControl/>
              <w:spacing w:line="240" w:lineRule="atLeast"/>
              <w:jc w:val="center"/>
              <w:rPr>
                <w:rFonts w:eastAsia="仿宋_GB2312"/>
                <w:color w:val="000000"/>
                <w:kern w:val="0"/>
                <w:sz w:val="18"/>
                <w:szCs w:val="18"/>
              </w:rPr>
            </w:pPr>
          </w:p>
          <w:p>
            <w:pPr>
              <w:widowControl/>
              <w:spacing w:line="240" w:lineRule="atLeast"/>
              <w:jc w:val="center"/>
              <w:rPr>
                <w:rFonts w:eastAsia="仿宋_GB2312"/>
                <w:color w:val="000000"/>
                <w:kern w:val="0"/>
                <w:sz w:val="18"/>
                <w:szCs w:val="18"/>
              </w:rPr>
            </w:pPr>
          </w:p>
          <w:p>
            <w:pPr>
              <w:widowControl/>
              <w:spacing w:line="240" w:lineRule="atLeast"/>
              <w:jc w:val="center"/>
              <w:rPr>
                <w:rFonts w:eastAsia="仿宋_GB2312"/>
                <w:color w:val="000000"/>
                <w:kern w:val="0"/>
                <w:sz w:val="18"/>
                <w:szCs w:val="18"/>
              </w:rPr>
            </w:pPr>
          </w:p>
          <w:p>
            <w:pPr>
              <w:widowControl/>
              <w:spacing w:line="240" w:lineRule="atLeast"/>
              <w:jc w:val="center"/>
              <w:rPr>
                <w:rFonts w:eastAsia="仿宋_GB2312"/>
                <w:color w:val="000000"/>
                <w:kern w:val="0"/>
                <w:sz w:val="18"/>
                <w:szCs w:val="18"/>
              </w:rPr>
            </w:pPr>
          </w:p>
          <w:p>
            <w:pPr>
              <w:widowControl/>
              <w:spacing w:line="240" w:lineRule="atLeast"/>
              <w:jc w:val="center"/>
              <w:rPr>
                <w:rFonts w:eastAsia="仿宋_GB2312"/>
                <w:color w:val="000000"/>
                <w:kern w:val="0"/>
                <w:sz w:val="18"/>
                <w:szCs w:val="18"/>
              </w:rPr>
            </w:pP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决策　</w:t>
            </w:r>
          </w:p>
        </w:tc>
        <w:tc>
          <w:tcPr>
            <w:tcW w:w="394"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项目立项　</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立项依据</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充分性</w:t>
            </w:r>
          </w:p>
        </w:tc>
        <w:tc>
          <w:tcPr>
            <w:tcW w:w="680"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项目立项是否符合法律法规、相关政策、发展规划以及部门职责，用以反映和考核项目立项依据情况。</w:t>
            </w:r>
          </w:p>
        </w:tc>
        <w:tc>
          <w:tcPr>
            <w:tcW w:w="2056" w:type="pct"/>
            <w:shd w:val="clear" w:color="auto" w:fill="FFFFFF"/>
            <w:vAlign w:val="center"/>
          </w:tcPr>
          <w:p>
            <w:pPr>
              <w:widowControl/>
              <w:spacing w:line="240" w:lineRule="atLeast"/>
              <w:jc w:val="lef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项目是否与相关部门同类项目或部门内部相关项目重复。</w:t>
            </w:r>
          </w:p>
        </w:tc>
        <w:tc>
          <w:tcPr>
            <w:tcW w:w="512" w:type="pct"/>
            <w:shd w:val="clear" w:color="auto"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240" w:lineRule="atLeast"/>
              <w:jc w:val="center"/>
              <w:rPr>
                <w:rFonts w:hint="eastAsia"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24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立项程序</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规范性</w:t>
            </w:r>
          </w:p>
        </w:tc>
        <w:tc>
          <w:tcPr>
            <w:tcW w:w="680"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项目申请、设立过程是否符合相关要求，用以反映和考核项目立项的规范情况。</w:t>
            </w:r>
          </w:p>
        </w:tc>
        <w:tc>
          <w:tcPr>
            <w:tcW w:w="2056" w:type="pct"/>
            <w:shd w:val="clear" w:color="auto" w:fill="FFFFFF"/>
            <w:vAlign w:val="center"/>
          </w:tcPr>
          <w:p>
            <w:pPr>
              <w:widowControl/>
              <w:spacing w:line="240" w:lineRule="atLeast"/>
              <w:jc w:val="lef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项目是否按照规定的程序申请设立；</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审批文件、材料是否符合相关要求；</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事前是否已经过必要的可行性研究、专家论证、风险评估、绩效评估、集体决策。</w:t>
            </w:r>
          </w:p>
        </w:tc>
        <w:tc>
          <w:tcPr>
            <w:tcW w:w="512" w:type="pct"/>
            <w:shd w:val="clear" w:color="auto"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240" w:lineRule="atLeast"/>
              <w:jc w:val="center"/>
              <w:rPr>
                <w:rFonts w:hint="eastAsia"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24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绩效目标　</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绩效目标</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合理性</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项目所设定的绩效目标是否依据充分，是否符合客观实际，用以反映和考核项目绩效目标与项目实施的相符情况。</w:t>
            </w:r>
          </w:p>
        </w:tc>
        <w:tc>
          <w:tcPr>
            <w:tcW w:w="2056" w:type="pct"/>
            <w:shd w:val="clear" w:color="000000" w:fill="FFFFFF"/>
            <w:vAlign w:val="center"/>
          </w:tcPr>
          <w:p>
            <w:pPr>
              <w:widowControl/>
              <w:spacing w:line="240" w:lineRule="atLeast"/>
              <w:jc w:val="lef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hint="eastAsia"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项目是否有绩效目标；</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项目预期产出效益和效果是否符合正常的业绩水平；</w:t>
            </w:r>
          </w:p>
          <w:p>
            <w:pPr>
              <w:widowControl/>
              <w:spacing w:line="240" w:lineRule="atLeast"/>
              <w:jc w:val="left"/>
              <w:rPr>
                <w:rFonts w:eastAsia="仿宋_GB2312"/>
                <w:color w:val="000000"/>
                <w:kern w:val="0"/>
                <w:sz w:val="18"/>
                <w:szCs w:val="18"/>
              </w:rPr>
            </w:pPr>
            <w:r>
              <w:rPr>
                <w:rFonts w:eastAsia="仿宋_GB2312"/>
                <w:color w:val="000000"/>
                <w:kern w:val="0"/>
                <w:sz w:val="18"/>
                <w:szCs w:val="18"/>
              </w:rPr>
              <w:t>?</w:t>
            </w:r>
            <w:r>
              <w:rPr>
                <w:rFonts w:hint="eastAsia" w:eastAsia="仿宋_GB2312"/>
                <w:color w:val="000000"/>
                <w:kern w:val="0"/>
                <w:sz w:val="18"/>
                <w:szCs w:val="18"/>
              </w:rPr>
              <w:t>是否与预算确定的项目投资额或资金量相匹配。</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240" w:lineRule="atLeast"/>
              <w:jc w:val="center"/>
              <w:rPr>
                <w:rFonts w:hint="eastAsia"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绩效指标</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明确性</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依据绩效目标设定的绩效指标是否清晰、细化、可衡量等，用以反映和考核项目绩效目标的明细化情况。</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是否与项目目标任务数或计划数相对应。</w:t>
            </w:r>
            <w:r>
              <w:rPr>
                <w:rFonts w:eastAsia="仿宋_GB2312"/>
                <w:color w:val="000000"/>
                <w:kern w:val="0"/>
                <w:sz w:val="18"/>
                <w:szCs w:val="18"/>
              </w:rPr>
              <w:br w:type="textWrapping"/>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24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资金投入</w:t>
            </w:r>
          </w:p>
          <w:p>
            <w:pPr>
              <w:spacing w:line="240" w:lineRule="atLeast"/>
              <w:jc w:val="center"/>
              <w:rPr>
                <w:rFonts w:eastAsia="仿宋_GB2312"/>
                <w:color w:val="000000"/>
                <w:kern w:val="0"/>
                <w:sz w:val="18"/>
                <w:szCs w:val="18"/>
              </w:rPr>
            </w:pPr>
            <w:r>
              <w:rPr>
                <w:rFonts w:hint="eastAsia" w:eastAsia="仿宋_GB2312"/>
                <w:color w:val="000000"/>
                <w:kern w:val="0"/>
                <w:sz w:val="18"/>
                <w:szCs w:val="18"/>
              </w:rPr>
              <w:t>　</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预算编制</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科学性</w:t>
            </w:r>
          </w:p>
        </w:tc>
        <w:tc>
          <w:tcPr>
            <w:tcW w:w="680"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6"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预算编制是否经过科学论证；</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预算内容与项目内容是否匹配；</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预算确定的项目投资额或资金量是否与工作任务相匹配。</w:t>
            </w:r>
          </w:p>
        </w:tc>
        <w:tc>
          <w:tcPr>
            <w:tcW w:w="512" w:type="pct"/>
            <w:shd w:val="clear" w:color="auto"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240" w:lineRule="atLeast"/>
              <w:jc w:val="center"/>
              <w:rPr>
                <w:rFonts w:hint="eastAsia" w:eastAsia="仿宋_GB2312"/>
                <w:b/>
                <w:bCs/>
                <w:color w:val="000000"/>
                <w:kern w:val="0"/>
                <w:sz w:val="18"/>
                <w:szCs w:val="18"/>
                <w:lang w:eastAsia="zh-CN"/>
              </w:rPr>
            </w:pPr>
            <w:r>
              <w:rPr>
                <w:rFonts w:eastAsia="仿宋_GB2312"/>
                <w:b/>
                <w:bCs/>
                <w:color w:val="000000"/>
                <w:kern w:val="0"/>
                <w:sz w:val="18"/>
                <w:szCs w:val="18"/>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资金分配</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合理性</w:t>
            </w:r>
          </w:p>
        </w:tc>
        <w:tc>
          <w:tcPr>
            <w:tcW w:w="680"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6"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预算资金分配依据是否充分；</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资金分配额度是否合理，与项目单位或地方实际是否相适应。</w:t>
            </w:r>
          </w:p>
        </w:tc>
        <w:tc>
          <w:tcPr>
            <w:tcW w:w="512" w:type="pct"/>
            <w:shd w:val="clear" w:color="auto"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p>
          <w:p>
            <w:pPr>
              <w:spacing w:line="240" w:lineRule="atLeast"/>
              <w:jc w:val="center"/>
              <w:rPr>
                <w:rFonts w:eastAsia="仿宋_GB2312"/>
                <w:color w:val="000000"/>
                <w:kern w:val="0"/>
                <w:sz w:val="18"/>
                <w:szCs w:val="18"/>
              </w:rPr>
            </w:pPr>
            <w:r>
              <w:rPr>
                <w:rFonts w:hint="eastAsia" w:eastAsia="仿宋_GB2312"/>
                <w:color w:val="000000"/>
                <w:kern w:val="0"/>
                <w:sz w:val="18"/>
                <w:szCs w:val="18"/>
              </w:rPr>
              <w:t>过程</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　　</w:t>
            </w:r>
          </w:p>
        </w:tc>
        <w:tc>
          <w:tcPr>
            <w:tcW w:w="394"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资金管理</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资金到位率</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实际到位资金与预算资金的比率，用以反映和考核资金落实情况对项目实施的总体保障程度。</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资金到位率</w:t>
            </w:r>
            <w:r>
              <w:rPr>
                <w:rFonts w:eastAsia="仿宋_GB2312"/>
                <w:color w:val="000000"/>
                <w:kern w:val="0"/>
                <w:sz w:val="18"/>
                <w:szCs w:val="18"/>
              </w:rPr>
              <w:t>=</w:t>
            </w:r>
            <w:r>
              <w:rPr>
                <w:rFonts w:hint="eastAsia" w:eastAsia="仿宋_GB2312"/>
                <w:color w:val="000000"/>
                <w:kern w:val="0"/>
                <w:sz w:val="18"/>
                <w:szCs w:val="18"/>
              </w:rPr>
              <w:t>（实际到位资金</w:t>
            </w:r>
            <w:r>
              <w:rPr>
                <w:rFonts w:eastAsia="仿宋_GB2312"/>
                <w:color w:val="000000"/>
                <w:kern w:val="0"/>
                <w:sz w:val="18"/>
                <w:szCs w:val="18"/>
              </w:rPr>
              <w:t>/</w:t>
            </w:r>
            <w:r>
              <w:rPr>
                <w:rFonts w:hint="eastAsia" w:eastAsia="仿宋_GB2312"/>
                <w:color w:val="000000"/>
                <w:kern w:val="0"/>
                <w:sz w:val="18"/>
                <w:szCs w:val="18"/>
              </w:rPr>
              <w:t>预算资金）</w:t>
            </w:r>
            <w:r>
              <w:rPr>
                <w:rFonts w:eastAsia="仿宋_GB2312"/>
                <w:color w:val="000000"/>
                <w:kern w:val="0"/>
                <w:sz w:val="18"/>
                <w:szCs w:val="18"/>
              </w:rPr>
              <w:t>×100%</w:t>
            </w:r>
            <w:r>
              <w:rPr>
                <w:rFonts w:hint="eastAsia" w:eastAsia="仿宋_GB2312"/>
                <w:color w:val="000000"/>
                <w:kern w:val="0"/>
                <w:sz w:val="18"/>
                <w:szCs w:val="18"/>
              </w:rPr>
              <w:t>。</w:t>
            </w:r>
          </w:p>
          <w:p>
            <w:pPr>
              <w:widowControl/>
              <w:spacing w:line="240" w:lineRule="atLeast"/>
              <w:rPr>
                <w:rFonts w:eastAsia="仿宋_GB2312"/>
                <w:color w:val="000000"/>
                <w:kern w:val="0"/>
                <w:sz w:val="18"/>
                <w:szCs w:val="18"/>
              </w:rPr>
            </w:pPr>
            <w:r>
              <w:rPr>
                <w:rFonts w:hint="eastAsia" w:eastAsia="仿宋_GB2312"/>
                <w:color w:val="000000"/>
                <w:kern w:val="0"/>
                <w:sz w:val="18"/>
                <w:szCs w:val="18"/>
              </w:rPr>
              <w:t>实际到位资金：一定时期（本年度或项目期）内落实到具体项目的资金。</w:t>
            </w:r>
          </w:p>
          <w:p>
            <w:pPr>
              <w:widowControl/>
              <w:spacing w:line="240" w:lineRule="atLeast"/>
              <w:rPr>
                <w:rFonts w:eastAsia="仿宋_GB2312"/>
                <w:color w:val="000000"/>
                <w:kern w:val="0"/>
                <w:sz w:val="18"/>
                <w:szCs w:val="18"/>
              </w:rPr>
            </w:pPr>
            <w:r>
              <w:rPr>
                <w:rFonts w:hint="eastAsia" w:eastAsia="仿宋_GB2312"/>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240" w:lineRule="atLeast"/>
              <w:jc w:val="center"/>
              <w:rPr>
                <w:rFonts w:eastAsia="仿宋_GB2312"/>
                <w:color w:val="000000"/>
                <w:kern w:val="0"/>
                <w:sz w:val="18"/>
                <w:szCs w:val="18"/>
              </w:rPr>
            </w:pPr>
          </w:p>
        </w:tc>
        <w:tc>
          <w:tcPr>
            <w:tcW w:w="394" w:type="pct"/>
            <w:vMerge w:val="continue"/>
            <w:shd w:val="clear" w:color="auto" w:fill="FFFFFF"/>
            <w:vAlign w:val="center"/>
          </w:tcPr>
          <w:p>
            <w:pPr>
              <w:spacing w:line="240" w:lineRule="atLeast"/>
              <w:jc w:val="center"/>
              <w:rPr>
                <w:rFonts w:eastAsia="仿宋_GB2312"/>
                <w:color w:val="000000"/>
                <w:kern w:val="0"/>
                <w:sz w:val="18"/>
                <w:szCs w:val="18"/>
              </w:rPr>
            </w:pP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预算执行率</w:t>
            </w:r>
          </w:p>
        </w:tc>
        <w:tc>
          <w:tcPr>
            <w:tcW w:w="680"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项目预算资金是否按照计划执行，用以反映或考核项目预算执行情况。</w:t>
            </w:r>
          </w:p>
        </w:tc>
        <w:tc>
          <w:tcPr>
            <w:tcW w:w="2056"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预算执行率</w:t>
            </w:r>
            <w:r>
              <w:rPr>
                <w:rFonts w:eastAsia="仿宋_GB2312"/>
                <w:color w:val="000000"/>
                <w:kern w:val="0"/>
                <w:sz w:val="18"/>
                <w:szCs w:val="18"/>
              </w:rPr>
              <w:t>=</w:t>
            </w:r>
            <w:r>
              <w:rPr>
                <w:rFonts w:hint="eastAsia" w:eastAsia="仿宋_GB2312"/>
                <w:color w:val="000000"/>
                <w:kern w:val="0"/>
                <w:sz w:val="18"/>
                <w:szCs w:val="18"/>
              </w:rPr>
              <w:t>（实际支出资金</w:t>
            </w:r>
            <w:r>
              <w:rPr>
                <w:rFonts w:eastAsia="仿宋_GB2312"/>
                <w:color w:val="000000"/>
                <w:kern w:val="0"/>
                <w:sz w:val="18"/>
                <w:szCs w:val="18"/>
              </w:rPr>
              <w:t>/</w:t>
            </w:r>
            <w:r>
              <w:rPr>
                <w:rFonts w:hint="eastAsia" w:eastAsia="仿宋_GB2312"/>
                <w:color w:val="000000"/>
                <w:kern w:val="0"/>
                <w:sz w:val="18"/>
                <w:szCs w:val="18"/>
              </w:rPr>
              <w:t>实际到位资金）</w:t>
            </w:r>
            <w:r>
              <w:rPr>
                <w:rFonts w:eastAsia="仿宋_GB2312"/>
                <w:color w:val="000000"/>
                <w:kern w:val="0"/>
                <w:sz w:val="18"/>
                <w:szCs w:val="18"/>
              </w:rPr>
              <w:t>×100%</w:t>
            </w:r>
            <w:r>
              <w:rPr>
                <w:rFonts w:hint="eastAsia" w:eastAsia="仿宋_GB2312"/>
                <w:color w:val="000000"/>
                <w:kern w:val="0"/>
                <w:sz w:val="18"/>
                <w:szCs w:val="18"/>
              </w:rPr>
              <w:t>。</w:t>
            </w:r>
            <w:r>
              <w:rPr>
                <w:rFonts w:eastAsia="仿宋_GB2312"/>
                <w:color w:val="000000"/>
                <w:kern w:val="0"/>
                <w:sz w:val="18"/>
                <w:szCs w:val="18"/>
              </w:rPr>
              <w:br w:type="textWrapping"/>
            </w:r>
            <w:r>
              <w:rPr>
                <w:rFonts w:hint="eastAsia" w:eastAsia="仿宋_GB2312"/>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240" w:lineRule="atLeast"/>
              <w:jc w:val="center"/>
              <w:rPr>
                <w:rFonts w:eastAsia="仿宋_GB2312"/>
                <w:color w:val="000000"/>
                <w:kern w:val="0"/>
                <w:sz w:val="18"/>
                <w:szCs w:val="18"/>
              </w:rPr>
            </w:pPr>
          </w:p>
        </w:tc>
        <w:tc>
          <w:tcPr>
            <w:tcW w:w="394"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资金管理</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资金使用</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合规性</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项目资金使用是否符合相关的财务管理制度规定，用以反映和考核项目资金的规范运行情况。</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是否存在截留、挤占、挪用、虚列支出等情况。</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24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组织实施</w:t>
            </w:r>
          </w:p>
          <w:p>
            <w:pPr>
              <w:spacing w:line="240" w:lineRule="atLeast"/>
              <w:jc w:val="center"/>
              <w:rPr>
                <w:rFonts w:eastAsia="仿宋_GB2312"/>
                <w:color w:val="000000"/>
                <w:kern w:val="0"/>
                <w:sz w:val="18"/>
                <w:szCs w:val="18"/>
              </w:rPr>
            </w:pPr>
            <w:r>
              <w:rPr>
                <w:rFonts w:hint="eastAsia" w:eastAsia="仿宋_GB2312"/>
                <w:color w:val="000000"/>
                <w:kern w:val="0"/>
                <w:sz w:val="18"/>
                <w:szCs w:val="18"/>
              </w:rPr>
              <w:t>　</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管理制度</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健全性</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项目实施单位的财务和业务管理制度是否健全，用以反映和考核财务和业务管理制度对项目顺利实施的保障情况。</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财务和业务管理制度是否合法、合规、完整。</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制度执行</w:t>
            </w:r>
          </w:p>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有效性</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项目实施是否符合相关管理规定，用以反映和考核相关管理制度的有效执行情况。</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项目调整及支出调整手续是否完备；</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w:t>
            </w:r>
            <w:r>
              <w:rPr>
                <w:rFonts w:hint="eastAsia" w:eastAsia="仿宋_GB2312"/>
                <w:color w:val="000000"/>
                <w:kern w:val="0"/>
                <w:sz w:val="18"/>
                <w:szCs w:val="18"/>
              </w:rPr>
              <w:t>项目实施的人员条件、场地设备、信息支撑等是否落实到位。</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产出</w:t>
            </w:r>
          </w:p>
        </w:tc>
        <w:tc>
          <w:tcPr>
            <w:tcW w:w="394"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产出数量</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实际完成率</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项目实施的实际产出数与计划产出数的比率，用以反映和考核项目产出数量目标的实现程度。</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实际完成率</w:t>
            </w:r>
            <w:r>
              <w:rPr>
                <w:rFonts w:eastAsia="仿宋_GB2312"/>
                <w:color w:val="000000"/>
                <w:kern w:val="0"/>
                <w:sz w:val="18"/>
                <w:szCs w:val="18"/>
              </w:rPr>
              <w:t>=</w:t>
            </w:r>
            <w:r>
              <w:rPr>
                <w:rFonts w:hint="eastAsia" w:eastAsia="仿宋_GB2312"/>
                <w:color w:val="000000"/>
                <w:kern w:val="0"/>
                <w:sz w:val="18"/>
                <w:szCs w:val="18"/>
              </w:rPr>
              <w:t>（实际产出数</w:t>
            </w:r>
            <w:r>
              <w:rPr>
                <w:rFonts w:eastAsia="仿宋_GB2312"/>
                <w:color w:val="000000"/>
                <w:kern w:val="0"/>
                <w:sz w:val="18"/>
                <w:szCs w:val="18"/>
              </w:rPr>
              <w:t>/</w:t>
            </w:r>
            <w:r>
              <w:rPr>
                <w:rFonts w:hint="eastAsia" w:eastAsia="仿宋_GB2312"/>
                <w:color w:val="000000"/>
                <w:kern w:val="0"/>
                <w:sz w:val="18"/>
                <w:szCs w:val="18"/>
              </w:rPr>
              <w:t>计划产出数）</w:t>
            </w:r>
            <w:r>
              <w:rPr>
                <w:rFonts w:eastAsia="仿宋_GB2312"/>
                <w:color w:val="000000"/>
                <w:kern w:val="0"/>
                <w:sz w:val="18"/>
                <w:szCs w:val="18"/>
              </w:rPr>
              <w:t>×100%</w:t>
            </w:r>
            <w:r>
              <w:rPr>
                <w:rFonts w:hint="eastAsia" w:eastAsia="仿宋_GB2312"/>
                <w:color w:val="000000"/>
                <w:kern w:val="0"/>
                <w:sz w:val="18"/>
                <w:szCs w:val="18"/>
              </w:rPr>
              <w:t>。</w:t>
            </w:r>
            <w:r>
              <w:rPr>
                <w:rFonts w:eastAsia="仿宋_GB2312"/>
                <w:color w:val="000000"/>
                <w:kern w:val="0"/>
                <w:sz w:val="18"/>
                <w:szCs w:val="18"/>
              </w:rPr>
              <w:br w:type="textWrapping"/>
            </w:r>
            <w:r>
              <w:rPr>
                <w:rFonts w:hint="eastAsia"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hint="eastAsia"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394"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产出质量</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质量达标率</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项目完成的质量达标产出数与实际产出数的比率，用以反映和考核项目产出质量目标的实现程度。</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质量达标率</w:t>
            </w:r>
            <w:r>
              <w:rPr>
                <w:rFonts w:eastAsia="仿宋_GB2312"/>
                <w:color w:val="000000"/>
                <w:kern w:val="0"/>
                <w:sz w:val="18"/>
                <w:szCs w:val="18"/>
              </w:rPr>
              <w:t>=</w:t>
            </w:r>
            <w:r>
              <w:rPr>
                <w:rFonts w:hint="eastAsia" w:eastAsia="仿宋_GB2312"/>
                <w:color w:val="000000"/>
                <w:kern w:val="0"/>
                <w:sz w:val="18"/>
                <w:szCs w:val="18"/>
              </w:rPr>
              <w:t>（质量达标产出数</w:t>
            </w:r>
            <w:r>
              <w:rPr>
                <w:rFonts w:eastAsia="仿宋_GB2312"/>
                <w:color w:val="000000"/>
                <w:kern w:val="0"/>
                <w:sz w:val="18"/>
                <w:szCs w:val="18"/>
              </w:rPr>
              <w:t>/</w:t>
            </w:r>
            <w:r>
              <w:rPr>
                <w:rFonts w:hint="eastAsia" w:eastAsia="仿宋_GB2312"/>
                <w:color w:val="000000"/>
                <w:kern w:val="0"/>
                <w:sz w:val="18"/>
                <w:szCs w:val="18"/>
              </w:rPr>
              <w:t>实际产出数）</w:t>
            </w:r>
            <w:r>
              <w:rPr>
                <w:rFonts w:eastAsia="仿宋_GB2312"/>
                <w:color w:val="000000"/>
                <w:kern w:val="0"/>
                <w:sz w:val="18"/>
                <w:szCs w:val="18"/>
              </w:rPr>
              <w:t>×100%</w:t>
            </w:r>
            <w:r>
              <w:rPr>
                <w:rFonts w:hint="eastAsia" w:eastAsia="仿宋_GB2312"/>
                <w:color w:val="000000"/>
                <w:kern w:val="0"/>
                <w:sz w:val="18"/>
                <w:szCs w:val="18"/>
              </w:rPr>
              <w:t>。</w:t>
            </w:r>
          </w:p>
          <w:p>
            <w:pPr>
              <w:widowControl/>
              <w:spacing w:line="240" w:lineRule="atLeast"/>
              <w:rPr>
                <w:rFonts w:eastAsia="仿宋_GB2312"/>
                <w:color w:val="000000"/>
                <w:kern w:val="0"/>
                <w:sz w:val="18"/>
                <w:szCs w:val="18"/>
              </w:rPr>
            </w:pPr>
            <w:r>
              <w:rPr>
                <w:rFonts w:hint="eastAsia"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240" w:lineRule="atLeast"/>
              <w:jc w:val="center"/>
              <w:rPr>
                <w:rFonts w:eastAsia="仿宋_GB2312"/>
                <w:color w:val="000000"/>
                <w:kern w:val="0"/>
                <w:sz w:val="18"/>
                <w:szCs w:val="18"/>
              </w:rPr>
            </w:pPr>
          </w:p>
        </w:tc>
        <w:tc>
          <w:tcPr>
            <w:tcW w:w="394" w:type="pct"/>
            <w:shd w:val="clear" w:color="auto" w:fill="FFFFFF"/>
            <w:vAlign w:val="center"/>
          </w:tcPr>
          <w:p>
            <w:pPr>
              <w:spacing w:line="240" w:lineRule="atLeast"/>
              <w:jc w:val="center"/>
              <w:rPr>
                <w:rFonts w:eastAsia="仿宋_GB2312"/>
                <w:color w:val="000000"/>
                <w:kern w:val="0"/>
                <w:sz w:val="18"/>
                <w:szCs w:val="18"/>
              </w:rPr>
            </w:pPr>
            <w:r>
              <w:rPr>
                <w:rFonts w:hint="eastAsia" w:eastAsia="仿宋_GB2312"/>
                <w:color w:val="000000"/>
                <w:kern w:val="0"/>
                <w:sz w:val="18"/>
                <w:szCs w:val="18"/>
              </w:rPr>
              <w:t>产出时效</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完成及时性</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项目实际完成时间与计划完成时间的比较，用以反映和考核项目产出时效目标的实现程度。</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hint="eastAsia"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394"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产出成本</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成本节约率</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完成项目计划工作目标的实际节约成本与计划成本的比率，用以反映和考核项目的成本节约程度。</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eastAsia="仿宋_GB2312"/>
                <w:color w:val="000000"/>
                <w:kern w:val="0"/>
                <w:sz w:val="18"/>
                <w:szCs w:val="18"/>
              </w:rPr>
              <w:br w:type="textWrapping"/>
            </w:r>
            <w:r>
              <w:rPr>
                <w:rFonts w:hint="eastAsia" w:eastAsia="仿宋_GB2312"/>
                <w:color w:val="000000"/>
                <w:kern w:val="0"/>
                <w:sz w:val="18"/>
                <w:szCs w:val="18"/>
              </w:rPr>
              <w:t>成本节约率</w:t>
            </w:r>
            <w:r>
              <w:rPr>
                <w:rFonts w:eastAsia="仿宋_GB2312"/>
                <w:color w:val="000000"/>
                <w:kern w:val="0"/>
                <w:sz w:val="18"/>
                <w:szCs w:val="18"/>
              </w:rPr>
              <w:t>=[</w:t>
            </w:r>
            <w:r>
              <w:rPr>
                <w:rFonts w:hint="eastAsia" w:eastAsia="仿宋_GB2312"/>
                <w:color w:val="000000"/>
                <w:kern w:val="0"/>
                <w:sz w:val="18"/>
                <w:szCs w:val="18"/>
              </w:rPr>
              <w:t>（计划成本</w:t>
            </w:r>
            <w:r>
              <w:rPr>
                <w:rFonts w:eastAsia="仿宋_GB2312"/>
                <w:color w:val="000000"/>
                <w:kern w:val="0"/>
                <w:sz w:val="18"/>
                <w:szCs w:val="18"/>
              </w:rPr>
              <w:t>-</w:t>
            </w:r>
            <w:r>
              <w:rPr>
                <w:rFonts w:hint="eastAsia" w:eastAsia="仿宋_GB2312"/>
                <w:color w:val="000000"/>
                <w:kern w:val="0"/>
                <w:sz w:val="18"/>
                <w:szCs w:val="18"/>
              </w:rPr>
              <w:t>实际成本）</w:t>
            </w:r>
            <w:r>
              <w:rPr>
                <w:rFonts w:eastAsia="仿宋_GB2312"/>
                <w:color w:val="000000"/>
                <w:kern w:val="0"/>
                <w:sz w:val="18"/>
                <w:szCs w:val="18"/>
              </w:rPr>
              <w:t>/</w:t>
            </w:r>
            <w:r>
              <w:rPr>
                <w:rFonts w:hint="eastAsia" w:eastAsia="仿宋_GB2312"/>
                <w:color w:val="000000"/>
                <w:kern w:val="0"/>
                <w:sz w:val="18"/>
                <w:szCs w:val="18"/>
              </w:rPr>
              <w:t>计划成本</w:t>
            </w:r>
            <w:r>
              <w:rPr>
                <w:rFonts w:eastAsia="仿宋_GB2312"/>
                <w:color w:val="000000"/>
                <w:kern w:val="0"/>
                <w:sz w:val="18"/>
                <w:szCs w:val="18"/>
              </w:rPr>
              <w:t>]×100%</w:t>
            </w:r>
            <w:r>
              <w:rPr>
                <w:rFonts w:hint="eastAsia" w:eastAsia="仿宋_GB2312"/>
                <w:color w:val="000000"/>
                <w:kern w:val="0"/>
                <w:sz w:val="18"/>
                <w:szCs w:val="18"/>
              </w:rPr>
              <w:t>。</w:t>
            </w:r>
            <w:r>
              <w:rPr>
                <w:rFonts w:eastAsia="仿宋_GB2312"/>
                <w:color w:val="000000"/>
                <w:kern w:val="0"/>
                <w:sz w:val="18"/>
                <w:szCs w:val="18"/>
              </w:rPr>
              <w:br w:type="textWrapping"/>
            </w:r>
            <w:r>
              <w:rPr>
                <w:rFonts w:hint="eastAsia"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hint="eastAsia" w:eastAsia="仿宋_GB2312"/>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效益　</w:t>
            </w:r>
          </w:p>
        </w:tc>
        <w:tc>
          <w:tcPr>
            <w:tcW w:w="394" w:type="pct"/>
            <w:vMerge w:val="restar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项目效益　</w:t>
            </w: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实施效益</w:t>
            </w:r>
          </w:p>
        </w:tc>
        <w:tc>
          <w:tcPr>
            <w:tcW w:w="680" w:type="pct"/>
            <w:shd w:val="clear" w:color="auto" w:fill="FFFFFF"/>
            <w:vAlign w:val="center"/>
          </w:tcPr>
          <w:p>
            <w:pPr>
              <w:widowControl/>
              <w:spacing w:line="240" w:lineRule="atLeast"/>
              <w:jc w:val="left"/>
              <w:rPr>
                <w:rFonts w:eastAsia="仿宋_GB2312"/>
                <w:color w:val="000000"/>
                <w:kern w:val="0"/>
                <w:sz w:val="18"/>
                <w:szCs w:val="18"/>
              </w:rPr>
            </w:pPr>
            <w:r>
              <w:rPr>
                <w:rFonts w:hint="eastAsia" w:eastAsia="仿宋_GB2312"/>
                <w:color w:val="000000"/>
                <w:kern w:val="0"/>
                <w:sz w:val="18"/>
                <w:szCs w:val="18"/>
              </w:rPr>
              <w:t>项目实施所产生的效益。</w:t>
            </w:r>
          </w:p>
        </w:tc>
        <w:tc>
          <w:tcPr>
            <w:tcW w:w="2056" w:type="pct"/>
            <w:shd w:val="clear" w:color="auto"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auto"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240" w:lineRule="atLeast"/>
              <w:jc w:val="center"/>
              <w:rPr>
                <w:rFonts w:eastAsia="仿宋_GB2312"/>
                <w:color w:val="000000"/>
                <w:kern w:val="0"/>
                <w:sz w:val="18"/>
                <w:szCs w:val="18"/>
              </w:rPr>
            </w:pPr>
          </w:p>
        </w:tc>
        <w:tc>
          <w:tcPr>
            <w:tcW w:w="422" w:type="pct"/>
            <w:shd w:val="clear" w:color="auto" w:fill="FFFFFF"/>
            <w:vAlign w:val="center"/>
          </w:tcPr>
          <w:p>
            <w:pPr>
              <w:widowControl/>
              <w:spacing w:line="240" w:lineRule="atLeast"/>
              <w:jc w:val="center"/>
              <w:rPr>
                <w:rFonts w:eastAsia="仿宋_GB2312"/>
                <w:color w:val="000000"/>
                <w:kern w:val="0"/>
                <w:sz w:val="18"/>
                <w:szCs w:val="18"/>
              </w:rPr>
            </w:pPr>
            <w:r>
              <w:rPr>
                <w:rFonts w:hint="eastAsia" w:eastAsia="仿宋_GB2312"/>
                <w:color w:val="000000"/>
                <w:kern w:val="0"/>
                <w:sz w:val="18"/>
                <w:szCs w:val="18"/>
              </w:rPr>
              <w:t>满意度</w:t>
            </w:r>
          </w:p>
        </w:tc>
        <w:tc>
          <w:tcPr>
            <w:tcW w:w="680"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社会公众或服务对象对项目实施效果的满意程度。</w:t>
            </w:r>
          </w:p>
        </w:tc>
        <w:tc>
          <w:tcPr>
            <w:tcW w:w="2056" w:type="pct"/>
            <w:shd w:val="clear" w:color="000000" w:fill="FFFFFF"/>
            <w:vAlign w:val="center"/>
          </w:tcPr>
          <w:p>
            <w:pPr>
              <w:widowControl/>
              <w:spacing w:line="240" w:lineRule="atLeast"/>
              <w:rPr>
                <w:rFonts w:eastAsia="仿宋_GB2312"/>
                <w:color w:val="000000"/>
                <w:kern w:val="0"/>
                <w:sz w:val="18"/>
                <w:szCs w:val="18"/>
              </w:rPr>
            </w:pPr>
            <w:r>
              <w:rPr>
                <w:rFonts w:hint="eastAsia" w:eastAsia="仿宋_GB2312"/>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24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240" w:lineRule="atLeast"/>
              <w:jc w:val="center"/>
              <w:rPr>
                <w:rFonts w:ascii="Times New Roman" w:hAnsi="Times New Roman" w:eastAsia="仿宋_GB2312" w:cs="Times New Roman"/>
                <w:b/>
                <w:bCs/>
                <w:color w:val="000000"/>
                <w:kern w:val="0"/>
                <w:sz w:val="18"/>
                <w:szCs w:val="18"/>
                <w:lang w:val="en-US" w:eastAsia="zh-CN" w:bidi="ar-SA"/>
              </w:rPr>
            </w:pPr>
            <w:r>
              <w:rPr>
                <w:rFonts w:eastAsia="仿宋_GB2312"/>
                <w:b/>
                <w:bCs/>
                <w:color w:val="000000"/>
                <w:kern w:val="0"/>
                <w:sz w:val="18"/>
                <w:szCs w:val="18"/>
              </w:rPr>
              <w:t>10</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pPr>
      <w:bookmarkStart w:id="5" w:name="_GoBack"/>
      <w:bookmarkEnd w:id="5"/>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仿宋_GB2312"/>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23</w:t>
    </w:r>
    <w:r>
      <w:rPr>
        <w:lang w:val="zh-CN"/>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cs="Times New Roman"/>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3D62ECE"/>
    <w:multiLevelType w:val="singleLevel"/>
    <w:tmpl w:val="03D62ECE"/>
    <w:lvl w:ilvl="0" w:tentative="0">
      <w:start w:val="2"/>
      <w:numFmt w:val="chineseCounting"/>
      <w:suff w:val="nothing"/>
      <w:lvlText w:val="（%1）"/>
      <w:lvlJc w:val="left"/>
      <w:rPr>
        <w:rFonts w:hint="eastAsia" w:cs="Times New Roman"/>
      </w:rPr>
    </w:lvl>
  </w:abstractNum>
  <w:abstractNum w:abstractNumId="4">
    <w:nsid w:val="59ADCABA"/>
    <w:multiLevelType w:val="singleLevel"/>
    <w:tmpl w:val="59ADCABA"/>
    <w:lvl w:ilvl="0" w:tentative="0">
      <w:start w:val="3"/>
      <w:numFmt w:val="chineseCounting"/>
      <w:suff w:val="nothing"/>
      <w:lvlText w:val="（%1）"/>
      <w:lvlJc w:val="left"/>
      <w:rPr>
        <w:rFonts w:hint="eastAsia" w:cs="Times New Roman"/>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1FCF6FC7"/>
    <w:rsid w:val="295453F3"/>
    <w:rsid w:val="2BB9635C"/>
    <w:rsid w:val="2FE72691"/>
    <w:rsid w:val="3C8ECFC3"/>
    <w:rsid w:val="3EFF5919"/>
    <w:rsid w:val="3FFA5567"/>
    <w:rsid w:val="4A7DE682"/>
    <w:rsid w:val="4FFBEDB6"/>
    <w:rsid w:val="56FF0FC5"/>
    <w:rsid w:val="57F37E4F"/>
    <w:rsid w:val="6A5BC9B5"/>
    <w:rsid w:val="6CA9D869"/>
    <w:rsid w:val="6DBF4A56"/>
    <w:rsid w:val="6FEDC736"/>
    <w:rsid w:val="751FAD24"/>
    <w:rsid w:val="759776F0"/>
    <w:rsid w:val="77FF2FBA"/>
    <w:rsid w:val="7BED2CB3"/>
    <w:rsid w:val="7BFFA3E6"/>
    <w:rsid w:val="7C6319D5"/>
    <w:rsid w:val="7DFF234C"/>
    <w:rsid w:val="7DFFE63B"/>
    <w:rsid w:val="7EDEA36B"/>
    <w:rsid w:val="7EE3F272"/>
    <w:rsid w:val="7FA603B2"/>
    <w:rsid w:val="7FDE21B7"/>
    <w:rsid w:val="7FE99D8C"/>
    <w:rsid w:val="7FFF7EC2"/>
    <w:rsid w:val="97F19ECA"/>
    <w:rsid w:val="9BBD2216"/>
    <w:rsid w:val="9DEFB53D"/>
    <w:rsid w:val="AA83DFF1"/>
    <w:rsid w:val="B5AFDF62"/>
    <w:rsid w:val="B7EF44AF"/>
    <w:rsid w:val="B9AE269B"/>
    <w:rsid w:val="BF664286"/>
    <w:rsid w:val="BFBF472C"/>
    <w:rsid w:val="CECF9091"/>
    <w:rsid w:val="CFBFDBF4"/>
    <w:rsid w:val="D73DB428"/>
    <w:rsid w:val="DE6F9DFA"/>
    <w:rsid w:val="DFBE8390"/>
    <w:rsid w:val="ECDB0BF3"/>
    <w:rsid w:val="ECF5460B"/>
    <w:rsid w:val="EDE9E3AF"/>
    <w:rsid w:val="EEDE1FC5"/>
    <w:rsid w:val="EF7B5912"/>
    <w:rsid w:val="EFB2D28D"/>
    <w:rsid w:val="F74FDE6D"/>
    <w:rsid w:val="F77DC9D0"/>
    <w:rsid w:val="FA8DD0DC"/>
    <w:rsid w:val="FC4D1EFC"/>
    <w:rsid w:val="FDFEDE07"/>
    <w:rsid w:val="FF3E3637"/>
    <w:rsid w:val="FFEB653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semiHidden="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99" w:semiHidden="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19"/>
    <w:qFormat/>
    <w:uiPriority w:val="99"/>
    <w:pPr>
      <w:keepNext/>
      <w:widowControl/>
      <w:spacing w:before="240" w:after="60"/>
      <w:jc w:val="left"/>
      <w:outlineLvl w:val="2"/>
    </w:pPr>
    <w:rPr>
      <w:rFonts w:ascii="Calibri Light" w:hAnsi="Calibri Light"/>
      <w:b/>
      <w:bCs/>
      <w:kern w:val="0"/>
      <w:sz w:val="26"/>
      <w:szCs w:val="26"/>
    </w:rPr>
  </w:style>
  <w:style w:type="character" w:default="1" w:styleId="14">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26"/>
    <w:qFormat/>
    <w:uiPriority w:val="99"/>
    <w:pPr>
      <w:widowControl/>
      <w:spacing w:before="240" w:after="60"/>
      <w:jc w:val="center"/>
      <w:outlineLvl w:val="0"/>
    </w:pPr>
    <w:rPr>
      <w:rFonts w:ascii="Calibri Light" w:hAnsi="Calibri Light"/>
      <w:b/>
      <w:bCs/>
      <w:kern w:val="28"/>
      <w:sz w:val="32"/>
      <w:szCs w:val="32"/>
    </w:rPr>
  </w:style>
  <w:style w:type="paragraph" w:styleId="4">
    <w:name w:val="Body Text"/>
    <w:basedOn w:val="1"/>
    <w:link w:val="21"/>
    <w:qFormat/>
    <w:uiPriority w:val="99"/>
    <w:pPr>
      <w:spacing w:after="120"/>
    </w:pPr>
  </w:style>
  <w:style w:type="paragraph" w:styleId="5">
    <w:name w:val="Body Text Indent"/>
    <w:basedOn w:val="1"/>
    <w:link w:val="22"/>
    <w:qFormat/>
    <w:uiPriority w:val="99"/>
    <w:pPr>
      <w:spacing w:after="120"/>
      <w:ind w:left="420" w:leftChars="200"/>
    </w:pPr>
    <w:rPr>
      <w:rFonts w:ascii="Calibri" w:hAnsi="Calibri"/>
    </w:rPr>
  </w:style>
  <w:style w:type="paragraph" w:styleId="6">
    <w:name w:val="Balloon Text"/>
    <w:basedOn w:val="1"/>
    <w:link w:val="23"/>
    <w:qFormat/>
    <w:uiPriority w:val="99"/>
    <w:rPr>
      <w:sz w:val="18"/>
      <w:szCs w:val="18"/>
    </w:rPr>
  </w:style>
  <w:style w:type="paragraph" w:styleId="7">
    <w:name w:val="footer"/>
    <w:basedOn w:val="1"/>
    <w:link w:val="24"/>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Autospacing="1" w:afterAutospacing="1"/>
      <w:jc w:val="left"/>
    </w:pPr>
    <w:rPr>
      <w:kern w:val="0"/>
      <w:sz w:val="24"/>
    </w:rPr>
  </w:style>
  <w:style w:type="paragraph" w:styleId="10">
    <w:name w:val="Body Text First Indent"/>
    <w:basedOn w:val="4"/>
    <w:link w:val="28"/>
    <w:qFormat/>
    <w:uiPriority w:val="99"/>
    <w:pPr>
      <w:spacing w:after="0"/>
      <w:ind w:firstLine="200" w:firstLineChars="200"/>
    </w:pPr>
  </w:style>
  <w:style w:type="paragraph" w:styleId="11">
    <w:name w:val="Body Text First Indent 2"/>
    <w:basedOn w:val="5"/>
    <w:link w:val="29"/>
    <w:qFormat/>
    <w:uiPriority w:val="99"/>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99"/>
    <w:rPr>
      <w:rFonts w:cs="Times New Roman"/>
      <w:b/>
      <w:bCs/>
    </w:rPr>
  </w:style>
  <w:style w:type="paragraph" w:customStyle="1" w:styleId="16">
    <w:name w:val="Comment Text"/>
    <w:basedOn w:val="1"/>
    <w:link w:val="20"/>
    <w:qFormat/>
    <w:uiPriority w:val="99"/>
    <w:pPr>
      <w:jc w:val="left"/>
    </w:pPr>
  </w:style>
  <w:style w:type="paragraph" w:customStyle="1" w:styleId="17">
    <w:name w:val="Comment Subject"/>
    <w:basedOn w:val="16"/>
    <w:next w:val="16"/>
    <w:link w:val="27"/>
    <w:qFormat/>
    <w:uiPriority w:val="99"/>
    <w:rPr>
      <w:b/>
      <w:bCs/>
    </w:rPr>
  </w:style>
  <w:style w:type="character" w:customStyle="1" w:styleId="18">
    <w:name w:val="Comment Reference"/>
    <w:basedOn w:val="14"/>
    <w:qFormat/>
    <w:uiPriority w:val="99"/>
    <w:rPr>
      <w:rFonts w:cs="Times New Roman"/>
      <w:sz w:val="21"/>
      <w:szCs w:val="21"/>
    </w:rPr>
  </w:style>
  <w:style w:type="character" w:customStyle="1" w:styleId="19">
    <w:name w:val="Heading 3 Char"/>
    <w:basedOn w:val="14"/>
    <w:link w:val="3"/>
    <w:semiHidden/>
    <w:qFormat/>
    <w:uiPriority w:val="9"/>
    <w:rPr>
      <w:b/>
      <w:bCs/>
      <w:sz w:val="32"/>
      <w:szCs w:val="32"/>
    </w:rPr>
  </w:style>
  <w:style w:type="character" w:customStyle="1" w:styleId="20">
    <w:name w:val="Comment Text Char"/>
    <w:basedOn w:val="14"/>
    <w:link w:val="16"/>
    <w:qFormat/>
    <w:locked/>
    <w:uiPriority w:val="99"/>
    <w:rPr>
      <w:rFonts w:ascii="Times New Roman" w:hAnsi="Times New Roman" w:eastAsia="宋体" w:cs="Times New Roman"/>
      <w:kern w:val="2"/>
      <w:sz w:val="24"/>
      <w:szCs w:val="24"/>
    </w:rPr>
  </w:style>
  <w:style w:type="character" w:customStyle="1" w:styleId="21">
    <w:name w:val="Body Text Char"/>
    <w:basedOn w:val="14"/>
    <w:link w:val="4"/>
    <w:semiHidden/>
    <w:qFormat/>
    <w:uiPriority w:val="99"/>
    <w:rPr>
      <w:szCs w:val="24"/>
    </w:rPr>
  </w:style>
  <w:style w:type="character" w:customStyle="1" w:styleId="22">
    <w:name w:val="Body Text Indent Char"/>
    <w:basedOn w:val="14"/>
    <w:link w:val="5"/>
    <w:semiHidden/>
    <w:qFormat/>
    <w:uiPriority w:val="99"/>
    <w:rPr>
      <w:szCs w:val="24"/>
    </w:rPr>
  </w:style>
  <w:style w:type="character" w:customStyle="1" w:styleId="23">
    <w:name w:val="Balloon Text Char"/>
    <w:basedOn w:val="14"/>
    <w:link w:val="6"/>
    <w:qFormat/>
    <w:locked/>
    <w:uiPriority w:val="99"/>
    <w:rPr>
      <w:rFonts w:ascii="Times New Roman" w:hAnsi="Times New Roman" w:eastAsia="宋体" w:cs="Times New Roman"/>
      <w:kern w:val="2"/>
      <w:sz w:val="18"/>
      <w:szCs w:val="18"/>
    </w:rPr>
  </w:style>
  <w:style w:type="character" w:customStyle="1" w:styleId="24">
    <w:name w:val="Footer Char"/>
    <w:basedOn w:val="14"/>
    <w:link w:val="7"/>
    <w:semiHidden/>
    <w:qFormat/>
    <w:uiPriority w:val="99"/>
    <w:rPr>
      <w:sz w:val="18"/>
      <w:szCs w:val="18"/>
    </w:rPr>
  </w:style>
  <w:style w:type="character" w:customStyle="1" w:styleId="25">
    <w:name w:val="Header Char"/>
    <w:basedOn w:val="14"/>
    <w:link w:val="8"/>
    <w:qFormat/>
    <w:locked/>
    <w:uiPriority w:val="99"/>
    <w:rPr>
      <w:rFonts w:ascii="Times New Roman" w:hAnsi="Times New Roman" w:eastAsia="宋体" w:cs="Times New Roman"/>
      <w:kern w:val="2"/>
      <w:sz w:val="18"/>
      <w:szCs w:val="18"/>
    </w:rPr>
  </w:style>
  <w:style w:type="character" w:customStyle="1" w:styleId="26">
    <w:name w:val="Title Char"/>
    <w:basedOn w:val="14"/>
    <w:link w:val="2"/>
    <w:qFormat/>
    <w:uiPriority w:val="10"/>
    <w:rPr>
      <w:rFonts w:asciiTheme="majorHAnsi" w:hAnsiTheme="majorHAnsi" w:cstheme="majorBidi"/>
      <w:b/>
      <w:bCs/>
      <w:sz w:val="32"/>
      <w:szCs w:val="32"/>
    </w:rPr>
  </w:style>
  <w:style w:type="character" w:customStyle="1" w:styleId="27">
    <w:name w:val="Comment Subject Char"/>
    <w:basedOn w:val="20"/>
    <w:link w:val="17"/>
    <w:qFormat/>
    <w:locked/>
    <w:uiPriority w:val="99"/>
    <w:rPr>
      <w:b/>
      <w:bCs/>
    </w:rPr>
  </w:style>
  <w:style w:type="character" w:customStyle="1" w:styleId="28">
    <w:name w:val="Body Text First Indent Char"/>
    <w:basedOn w:val="21"/>
    <w:link w:val="10"/>
    <w:semiHidden/>
    <w:qFormat/>
    <w:uiPriority w:val="99"/>
  </w:style>
  <w:style w:type="character" w:customStyle="1" w:styleId="29">
    <w:name w:val="Body Text First Indent 2 Char"/>
    <w:basedOn w:val="22"/>
    <w:link w:val="11"/>
    <w:semiHidden/>
    <w:qFormat/>
    <w:uiPriority w:val="99"/>
  </w:style>
  <w:style w:type="character" w:customStyle="1" w:styleId="30">
    <w:name w:val="fontstyle01"/>
    <w:qFormat/>
    <w:uiPriority w:val="99"/>
    <w:rPr>
      <w:rFonts w:ascii="仿宋_GB2312" w:hAnsi="仿宋_GB2312" w:eastAsia="仿宋_GB2312"/>
      <w:color w:val="000000"/>
      <w:sz w:val="32"/>
    </w:rPr>
  </w:style>
  <w:style w:type="paragraph" w:customStyle="1" w:styleId="31">
    <w:name w:val="闻政-正文段落文字"/>
    <w:basedOn w:val="1"/>
    <w:qFormat/>
    <w:uiPriority w:val="99"/>
    <w:pPr>
      <w:spacing w:line="500" w:lineRule="exact"/>
      <w:ind w:firstLine="200"/>
    </w:pPr>
    <w:rPr>
      <w:kern w:val="0"/>
      <w:szCs w:val="28"/>
    </w:rPr>
  </w:style>
  <w:style w:type="paragraph" w:styleId="32">
    <w:name w:val="List Paragraph"/>
    <w:basedOn w:val="1"/>
    <w:unhideWhenUsed/>
    <w:qFormat/>
    <w:uiPriority w:val="99"/>
    <w:pPr>
      <w:ind w:firstLine="420" w:firstLineChars="200"/>
    </w:pPr>
  </w:style>
  <w:style w:type="paragraph" w:customStyle="1" w:styleId="33">
    <w:name w:val="闻政-正文三级标题"/>
    <w:basedOn w:val="1"/>
    <w:next w:val="3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xmlns="http://schemas.openxmlformats.org/officeDocument/2006/custom-properties" fmtid="{D5CDD505-2E9C-101B-9397-08002B2CF9AE}" name="KSOProductBuildVer" pid="2">
    <vt:lpwstr xmlns:vt="http://schemas.openxmlformats.org/officeDocument/2006/docPropsVTypes">2052-12.1.0.21541</vt:lpwstr>
  </property>
  <property xmlns="http://schemas.openxmlformats.org/officeDocument/2006/custom-properties" fmtid="{D5CDD505-2E9C-101B-9397-08002B2CF9AE}" name="ICV" pid="3">
    <vt:lpwstr xmlns:vt="http://schemas.openxmlformats.org/officeDocument/2006/docPropsVTypes">4A2F1C9BD5D14BC4A42B148623234747_13</vt:lpwstr>
  </property>
  <property xmlns="http://schemas.openxmlformats.org/officeDocument/2006/custom-properties" fmtid="{D5CDD505-2E9C-101B-9397-08002B2CF9AE}" name="KSOTemplateDocerSaveRecord" pid="4">
    <vt:lpwstr xmlns:vt="http://schemas.openxmlformats.org/officeDocument/2006/docPropsVTypes">eyJoZGlkIjoiYzNjNDQzYzczNWZlOWI1NTQwY2M4NzllYzg1NTljMzUiLCJ1c2VySWQiOiI1ODUwNDQwNTUifQ==</vt:lpwstr>
  </property>
</Properties>
</file>

<file path=customXml/itemProps1.xml><?xml version="1.0" encoding="utf-8"?>
<ds:datastoreItem xmlns:ds="http://schemas.openxmlformats.org/officeDocument/2006/customXml" ds:itemID="{14a7621c-e6d6-4c3f-b40c-ac2ff29c029c}">
  <ds:schemaRefs/>
</ds:datastoreItem>
</file>

<file path=docProps/app.xml><?xml version="1.0" encoding="utf-8"?>
<Properties xmlns="http://schemas.openxmlformats.org/officeDocument/2006/extended-properties" xmlns:vt="http://schemas.openxmlformats.org/officeDocument/2006/docPropsVTypes">
  <Template>Normal_Wordconv.dotm</Template>
  <Pages>23</Pages>
  <Words>7387</Words>
  <Characters>7690</Characters>
  <Lines>0</Lines>
  <Paragraphs>0</Paragraphs>
  <TotalTime>20</TotalTime>
  <ScaleCrop>false</ScaleCrop>
  <LinksUpToDate>false</LinksUpToDate>
  <CharactersWithSpaces>7701</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user</cp:lastModifiedBy>
  <dcterms:modified xsi:type="dcterms:W3CDTF">2025-09-23T16:49:08Z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4A2F1C9BD5D14BC4A42B148623234747_13</vt:lpwstr>
  </property>
  <property fmtid="{D5CDD505-2E9C-101B-9397-08002B2CF9AE}" pid="4" name="KSOTemplateDocerSaveRecord">
    <vt:lpwstr>eyJoZGlkIjoiYmMxZDY5OGZlYzU4ZGEwZmUyZWNkMmU5NzBiZTFjZWEiLCJ1c2VySWQiOiI0MzE2NzY3NzkifQ==</vt:lpwstr>
  </property>
</Properties>
</file>